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bottomFromText="284" w:vertAnchor="page" w:horzAnchor="margin" w:tblpY="5417"/>
        <w:tblOverlap w:val="never"/>
        <w:tblW w:w="9357" w:type="dxa"/>
        <w:tblLayout w:type="fixed"/>
        <w:tblCellMar>
          <w:left w:w="28" w:type="dxa"/>
          <w:right w:w="28" w:type="dxa"/>
        </w:tblCellMar>
        <w:tblLook w:val="0000"/>
      </w:tblPr>
      <w:tblGrid>
        <w:gridCol w:w="9357"/>
      </w:tblGrid>
      <w:tr w:rsidR="000F4E4D" w:rsidTr="005D1791">
        <w:trPr>
          <w:cantSplit/>
          <w:trHeight w:hRule="exact" w:val="1588"/>
        </w:trPr>
        <w:tc>
          <w:tcPr>
            <w:tcW w:w="9357" w:type="dxa"/>
            <w:vAlign w:val="center"/>
          </w:tcPr>
          <w:p w:rsidR="000F4E4D" w:rsidRPr="00923EA3" w:rsidRDefault="000F4E4D" w:rsidP="005D1791">
            <w:pPr>
              <w:pStyle w:val="figure"/>
            </w:pPr>
            <w:r>
              <w:rPr>
                <w:noProof/>
              </w:rPr>
              <w:t xml:space="preserve"> </w:t>
            </w:r>
            <w:r w:rsidR="00C379E0">
              <w:rPr>
                <w:noProof/>
              </w:rPr>
              <w:drawing>
                <wp:inline distT="0" distB="0" distL="0" distR="0">
                  <wp:extent cx="2419350" cy="704850"/>
                  <wp:effectExtent l="19050" t="0" r="0" b="0"/>
                  <wp:docPr id="31"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8"/>
                          <a:srcRect/>
                          <a:stretch>
                            <a:fillRect/>
                          </a:stretch>
                        </pic:blipFill>
                        <pic:spPr bwMode="auto">
                          <a:xfrm>
                            <a:off x="0" y="0"/>
                            <a:ext cx="2419350" cy="704850"/>
                          </a:xfrm>
                          <a:prstGeom prst="rect">
                            <a:avLst/>
                          </a:prstGeom>
                          <a:noFill/>
                          <a:ln w="9525">
                            <a:noFill/>
                            <a:miter lim="800000"/>
                            <a:headEnd/>
                            <a:tailEnd/>
                          </a:ln>
                        </pic:spPr>
                      </pic:pic>
                    </a:graphicData>
                  </a:graphic>
                </wp:inline>
              </w:drawing>
            </w:r>
          </w:p>
        </w:tc>
      </w:tr>
      <w:tr w:rsidR="000F4E4D" w:rsidTr="005D1791">
        <w:trPr>
          <w:cantSplit/>
        </w:trPr>
        <w:tc>
          <w:tcPr>
            <w:tcW w:w="9357" w:type="dxa"/>
            <w:tcMar>
              <w:left w:w="0" w:type="dxa"/>
              <w:right w:w="0" w:type="dxa"/>
            </w:tcMar>
            <w:vAlign w:val="center"/>
          </w:tcPr>
          <w:p w:rsidR="000F4E4D" w:rsidRDefault="000F4E4D" w:rsidP="005D1791"/>
          <w:p w:rsidR="000F4E4D" w:rsidRDefault="000F4E4D" w:rsidP="005D1791"/>
          <w:p w:rsidR="000F4E4D" w:rsidRPr="00B07A95" w:rsidRDefault="000F4E4D" w:rsidP="005D1791">
            <w:pPr>
              <w:rPr>
                <w:lang w:val="pl-PL"/>
              </w:rPr>
            </w:pPr>
            <w:r w:rsidRPr="00B07A95">
              <w:rPr>
                <w:rStyle w:val="titoloscenarioer28pt"/>
                <w:lang w:val="pl-PL"/>
              </w:rPr>
              <w:t>c o n g i u n t u r a</w:t>
            </w:r>
            <w:r w:rsidRPr="00B07A95">
              <w:rPr>
                <w:rStyle w:val="titoloscenarioer28pt"/>
                <w:lang w:val="pl-PL"/>
              </w:rPr>
              <w:br/>
            </w:r>
          </w:p>
          <w:p w:rsidR="000F4E4D" w:rsidRPr="00B07A95" w:rsidRDefault="000F4E4D" w:rsidP="005D1791">
            <w:pPr>
              <w:rPr>
                <w:lang w:val="pl-PL"/>
              </w:rPr>
            </w:pPr>
          </w:p>
          <w:p w:rsidR="000F4E4D" w:rsidRPr="00A17FAD" w:rsidRDefault="000F4E4D" w:rsidP="005D1791">
            <w:pPr>
              <w:pStyle w:val="titolosottoindaginepmi"/>
            </w:pPr>
            <w:r w:rsidRPr="00A17FAD">
              <w:t>i</w:t>
            </w:r>
            <w:r>
              <w:t xml:space="preserve"> </w:t>
            </w:r>
            <w:r w:rsidRPr="00A17FAD">
              <w:t>n</w:t>
            </w:r>
            <w:r>
              <w:t xml:space="preserve"> </w:t>
            </w:r>
            <w:r w:rsidRPr="00A17FAD">
              <w:t>d</w:t>
            </w:r>
            <w:r>
              <w:t xml:space="preserve"> </w:t>
            </w:r>
            <w:r w:rsidRPr="00A17FAD">
              <w:t>a</w:t>
            </w:r>
            <w:r>
              <w:t xml:space="preserve"> </w:t>
            </w:r>
            <w:r w:rsidRPr="00A17FAD">
              <w:t>g</w:t>
            </w:r>
            <w:r>
              <w:t xml:space="preserve"> </w:t>
            </w:r>
            <w:r w:rsidRPr="00A17FAD">
              <w:t>i</w:t>
            </w:r>
            <w:r>
              <w:t xml:space="preserve"> </w:t>
            </w:r>
            <w:r w:rsidRPr="00A17FAD">
              <w:t>n</w:t>
            </w:r>
            <w:r>
              <w:t xml:space="preserve"> </w:t>
            </w:r>
            <w:r w:rsidRPr="00A17FAD">
              <w:t>e</w:t>
            </w:r>
            <w:r>
              <w:t xml:space="preserve">   </w:t>
            </w:r>
            <w:r w:rsidRPr="00A17FAD">
              <w:t xml:space="preserve"> </w:t>
            </w:r>
            <w:r>
              <w:t xml:space="preserve"> </w:t>
            </w:r>
            <w:r w:rsidRPr="00A17FAD">
              <w:t>s</w:t>
            </w:r>
            <w:r>
              <w:t xml:space="preserve"> </w:t>
            </w:r>
            <w:r w:rsidRPr="00A17FAD">
              <w:t>u</w:t>
            </w:r>
            <w:r>
              <w:t xml:space="preserve"> </w:t>
            </w:r>
            <w:r w:rsidRPr="00A17FAD">
              <w:t>l</w:t>
            </w:r>
            <w:r>
              <w:t xml:space="preserve"> </w:t>
            </w:r>
            <w:proofErr w:type="spellStart"/>
            <w:r w:rsidRPr="00A17FAD">
              <w:t>l</w:t>
            </w:r>
            <w:proofErr w:type="spellEnd"/>
            <w:r>
              <w:t xml:space="preserve"> </w:t>
            </w:r>
            <w:r w:rsidRPr="00A17FAD">
              <w:t>e</w:t>
            </w:r>
            <w:r>
              <w:t xml:space="preserve">    </w:t>
            </w:r>
            <w:r w:rsidRPr="00A17FAD">
              <w:t xml:space="preserve"> p</w:t>
            </w:r>
            <w:r>
              <w:t xml:space="preserve"> </w:t>
            </w:r>
            <w:r w:rsidRPr="00A17FAD">
              <w:t>i</w:t>
            </w:r>
            <w:r>
              <w:t xml:space="preserve"> </w:t>
            </w:r>
            <w:r w:rsidRPr="00A17FAD">
              <w:t>c</w:t>
            </w:r>
            <w:r>
              <w:t xml:space="preserve"> </w:t>
            </w:r>
            <w:proofErr w:type="spellStart"/>
            <w:r w:rsidRPr="00A17FAD">
              <w:t>c</w:t>
            </w:r>
            <w:proofErr w:type="spellEnd"/>
            <w:r>
              <w:t xml:space="preserve"> </w:t>
            </w:r>
            <w:r w:rsidRPr="00A17FAD">
              <w:t>o</w:t>
            </w:r>
            <w:r>
              <w:t xml:space="preserve"> </w:t>
            </w:r>
            <w:r w:rsidRPr="00A17FAD">
              <w:t>l</w:t>
            </w:r>
            <w:r>
              <w:t xml:space="preserve"> </w:t>
            </w:r>
            <w:r w:rsidRPr="00A17FAD">
              <w:t>e</w:t>
            </w:r>
            <w:r>
              <w:t xml:space="preserve">     </w:t>
            </w:r>
            <w:proofErr w:type="spellStart"/>
            <w:r w:rsidRPr="00A17FAD">
              <w:t>e</w:t>
            </w:r>
            <w:proofErr w:type="spellEnd"/>
            <w:r>
              <w:t xml:space="preserve">  </w:t>
            </w:r>
            <w:r w:rsidRPr="00A17FAD">
              <w:t xml:space="preserve"> </w:t>
            </w:r>
            <w:r>
              <w:t xml:space="preserve">  </w:t>
            </w:r>
            <w:r w:rsidRPr="00A17FAD">
              <w:t>m</w:t>
            </w:r>
            <w:r>
              <w:t xml:space="preserve"> </w:t>
            </w:r>
            <w:r w:rsidRPr="00A17FAD">
              <w:t>e</w:t>
            </w:r>
            <w:r>
              <w:t xml:space="preserve"> </w:t>
            </w:r>
            <w:r w:rsidRPr="00A17FAD">
              <w:t>d</w:t>
            </w:r>
            <w:r>
              <w:t xml:space="preserve"> </w:t>
            </w:r>
            <w:r w:rsidRPr="00A17FAD">
              <w:t>i</w:t>
            </w:r>
            <w:r>
              <w:t xml:space="preserve"> </w:t>
            </w:r>
            <w:r w:rsidRPr="00A17FAD">
              <w:t xml:space="preserve">e </w:t>
            </w:r>
            <w:r>
              <w:t xml:space="preserve">    </w:t>
            </w:r>
            <w:r w:rsidRPr="00A17FAD">
              <w:t>i</w:t>
            </w:r>
            <w:r>
              <w:t xml:space="preserve"> </w:t>
            </w:r>
            <w:r w:rsidRPr="00A17FAD">
              <w:t>m</w:t>
            </w:r>
            <w:r>
              <w:t xml:space="preserve"> </w:t>
            </w:r>
            <w:r w:rsidRPr="00A17FAD">
              <w:t>p</w:t>
            </w:r>
            <w:r>
              <w:t xml:space="preserve"> </w:t>
            </w:r>
            <w:r w:rsidRPr="00A17FAD">
              <w:t>r</w:t>
            </w:r>
            <w:r>
              <w:t xml:space="preserve"> </w:t>
            </w:r>
            <w:r w:rsidRPr="00A17FAD">
              <w:t>e</w:t>
            </w:r>
            <w:r>
              <w:t xml:space="preserve"> </w:t>
            </w:r>
            <w:r w:rsidRPr="00A17FAD">
              <w:t>s</w:t>
            </w:r>
            <w:r>
              <w:t xml:space="preserve"> </w:t>
            </w:r>
            <w:r w:rsidRPr="00A17FAD">
              <w:t>e</w:t>
            </w:r>
            <w:r w:rsidRPr="00A17FAD">
              <w:br/>
            </w:r>
          </w:p>
          <w:p w:rsidR="000F4E4D" w:rsidRDefault="000F4E4D" w:rsidP="005D1791">
            <w:pPr>
              <w:pStyle w:val="titolosottoedizione16pt"/>
            </w:pPr>
            <w:r>
              <w:t>3° trimestre 2014</w:t>
            </w:r>
          </w:p>
          <w:p w:rsidR="000F4E4D" w:rsidRDefault="000F4E4D" w:rsidP="005D1791">
            <w:pPr>
              <w:pStyle w:val="titolosottoedizione16pt"/>
            </w:pPr>
            <w:r w:rsidRPr="00C150CE">
              <w:rPr>
                <w:rFonts w:ascii="Arial" w:hAnsi="Arial"/>
                <w:bCs w:val="0"/>
                <w:sz w:val="22"/>
                <w:szCs w:val="24"/>
              </w:rPr>
              <w:t>con aggiornamento expor</w:t>
            </w:r>
            <w:r>
              <w:rPr>
                <w:rFonts w:ascii="Arial" w:hAnsi="Arial"/>
                <w:bCs w:val="0"/>
                <w:sz w:val="22"/>
                <w:szCs w:val="24"/>
              </w:rPr>
              <w:t>t e imprese</w:t>
            </w:r>
          </w:p>
        </w:tc>
      </w:tr>
    </w:tbl>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706678"/>
    <w:p w:rsidR="000F4E4D" w:rsidRDefault="000F4E4D" w:rsidP="00472D9A">
      <w:pPr>
        <w:rPr>
          <w:b/>
          <w:color w:val="C00000"/>
          <w:sz w:val="28"/>
          <w:szCs w:val="28"/>
        </w:rPr>
      </w:pPr>
      <w:r>
        <w:br w:type="page"/>
      </w:r>
      <w:r w:rsidRPr="00472D9A">
        <w:rPr>
          <w:b/>
          <w:color w:val="C00000"/>
          <w:sz w:val="28"/>
          <w:szCs w:val="28"/>
        </w:rPr>
        <w:lastRenderedPageBreak/>
        <w:t>INDICE</w:t>
      </w:r>
    </w:p>
    <w:p w:rsidR="000F4E4D" w:rsidRPr="00653CAE" w:rsidRDefault="000F4E4D" w:rsidP="00472D9A">
      <w:pPr>
        <w:rPr>
          <w:color w:val="C00000"/>
          <w:sz w:val="24"/>
        </w:rPr>
      </w:pPr>
    </w:p>
    <w:p w:rsidR="000F4E4D" w:rsidRPr="00472D9A" w:rsidRDefault="000F4E4D" w:rsidP="00472D9A">
      <w:pPr>
        <w:tabs>
          <w:tab w:val="left" w:leader="dot" w:pos="7920"/>
        </w:tabs>
        <w:rPr>
          <w:color w:val="C00000"/>
          <w:sz w:val="24"/>
        </w:rPr>
      </w:pPr>
      <w:r w:rsidRPr="00472D9A">
        <w:rPr>
          <w:color w:val="C00000"/>
          <w:sz w:val="24"/>
        </w:rPr>
        <w:t>PREMESSA</w:t>
      </w:r>
      <w:r w:rsidRPr="00472D9A">
        <w:rPr>
          <w:color w:val="C00000"/>
          <w:sz w:val="24"/>
        </w:rPr>
        <w:tab/>
        <w:t>pag. 2</w:t>
      </w:r>
    </w:p>
    <w:p w:rsidR="000F4E4D" w:rsidRPr="00653CAE" w:rsidRDefault="000F4E4D" w:rsidP="00472D9A">
      <w:pPr>
        <w:tabs>
          <w:tab w:val="left" w:leader="dot" w:pos="7920"/>
        </w:tabs>
        <w:rPr>
          <w:color w:val="C00000"/>
          <w:sz w:val="24"/>
        </w:rPr>
      </w:pPr>
    </w:p>
    <w:p w:rsidR="000F4E4D" w:rsidRPr="00472D9A" w:rsidRDefault="000F4E4D" w:rsidP="00472D9A">
      <w:pPr>
        <w:tabs>
          <w:tab w:val="left" w:leader="dot" w:pos="7920"/>
        </w:tabs>
        <w:rPr>
          <w:color w:val="C00000"/>
          <w:sz w:val="24"/>
        </w:rPr>
      </w:pPr>
      <w:r w:rsidRPr="00472D9A">
        <w:rPr>
          <w:color w:val="C00000"/>
          <w:sz w:val="24"/>
        </w:rPr>
        <w:t>1. CONGIUNTURA MANIFATTURIERA</w:t>
      </w:r>
      <w:r w:rsidRPr="00472D9A">
        <w:rPr>
          <w:color w:val="C00000"/>
          <w:sz w:val="24"/>
        </w:rPr>
        <w:tab/>
        <w:t>pag. 3</w:t>
      </w:r>
    </w:p>
    <w:p w:rsidR="000F4E4D" w:rsidRPr="00653CAE" w:rsidRDefault="000F4E4D" w:rsidP="00472D9A">
      <w:pPr>
        <w:tabs>
          <w:tab w:val="left" w:leader="dot" w:pos="7920"/>
        </w:tabs>
        <w:rPr>
          <w:color w:val="C00000"/>
          <w:sz w:val="24"/>
        </w:rPr>
      </w:pPr>
    </w:p>
    <w:p w:rsidR="000F4E4D" w:rsidRPr="00472D9A" w:rsidRDefault="000F4E4D" w:rsidP="00472D9A">
      <w:pPr>
        <w:tabs>
          <w:tab w:val="left" w:leader="dot" w:pos="7920"/>
        </w:tabs>
        <w:rPr>
          <w:color w:val="C00000"/>
          <w:sz w:val="24"/>
        </w:rPr>
      </w:pPr>
      <w:r w:rsidRPr="00472D9A">
        <w:rPr>
          <w:color w:val="C00000"/>
          <w:sz w:val="24"/>
        </w:rPr>
        <w:t>2. CONGIUNTURA DEL SETTORE EDILE</w:t>
      </w:r>
      <w:r w:rsidRPr="00472D9A">
        <w:rPr>
          <w:color w:val="C00000"/>
          <w:sz w:val="24"/>
        </w:rPr>
        <w:tab/>
        <w:t>pag. 11</w:t>
      </w:r>
    </w:p>
    <w:p w:rsidR="000F4E4D" w:rsidRPr="00653CAE" w:rsidRDefault="000F4E4D" w:rsidP="00472D9A">
      <w:pPr>
        <w:tabs>
          <w:tab w:val="left" w:leader="dot" w:pos="7920"/>
        </w:tabs>
        <w:rPr>
          <w:color w:val="C00000"/>
          <w:sz w:val="24"/>
        </w:rPr>
      </w:pPr>
    </w:p>
    <w:p w:rsidR="000F4E4D" w:rsidRPr="00472D9A" w:rsidRDefault="000F4E4D" w:rsidP="00472D9A">
      <w:pPr>
        <w:tabs>
          <w:tab w:val="left" w:leader="dot" w:pos="7920"/>
        </w:tabs>
        <w:rPr>
          <w:color w:val="C00000"/>
          <w:sz w:val="24"/>
        </w:rPr>
      </w:pPr>
      <w:r w:rsidRPr="00472D9A">
        <w:rPr>
          <w:color w:val="C00000"/>
          <w:sz w:val="24"/>
        </w:rPr>
        <w:t>3. CONGIUNTURA DEL COMMERCIO AL DETTAGLIO</w:t>
      </w:r>
      <w:r w:rsidRPr="00472D9A">
        <w:rPr>
          <w:color w:val="C00000"/>
          <w:sz w:val="24"/>
        </w:rPr>
        <w:tab/>
        <w:t>pag. 14</w:t>
      </w:r>
    </w:p>
    <w:p w:rsidR="000F4E4D" w:rsidRPr="00653CAE" w:rsidRDefault="000F4E4D" w:rsidP="00472D9A">
      <w:pPr>
        <w:tabs>
          <w:tab w:val="left" w:leader="dot" w:pos="7920"/>
        </w:tabs>
        <w:rPr>
          <w:color w:val="C00000"/>
          <w:sz w:val="24"/>
        </w:rPr>
      </w:pPr>
    </w:p>
    <w:p w:rsidR="000F4E4D" w:rsidRPr="00472D9A" w:rsidRDefault="000F4E4D" w:rsidP="00472D9A">
      <w:pPr>
        <w:tabs>
          <w:tab w:val="left" w:leader="dot" w:pos="7920"/>
        </w:tabs>
        <w:rPr>
          <w:color w:val="C00000"/>
          <w:sz w:val="24"/>
        </w:rPr>
      </w:pPr>
      <w:r w:rsidRPr="00472D9A">
        <w:rPr>
          <w:color w:val="C00000"/>
          <w:sz w:val="24"/>
        </w:rPr>
        <w:t>AGGIORNAMENTO IMPORT-EXPORT</w:t>
      </w:r>
      <w:r w:rsidRPr="00472D9A">
        <w:rPr>
          <w:color w:val="C00000"/>
          <w:sz w:val="24"/>
        </w:rPr>
        <w:tab/>
        <w:t>pag. 18</w:t>
      </w:r>
    </w:p>
    <w:p w:rsidR="000F4E4D" w:rsidRPr="00653CAE" w:rsidRDefault="000F4E4D" w:rsidP="00472D9A">
      <w:pPr>
        <w:tabs>
          <w:tab w:val="left" w:leader="dot" w:pos="7920"/>
        </w:tabs>
        <w:rPr>
          <w:color w:val="C00000"/>
          <w:sz w:val="24"/>
        </w:rPr>
      </w:pPr>
    </w:p>
    <w:p w:rsidR="000F4E4D" w:rsidRPr="00472D9A" w:rsidRDefault="000F4E4D" w:rsidP="00472D9A">
      <w:pPr>
        <w:tabs>
          <w:tab w:val="left" w:leader="dot" w:pos="7920"/>
        </w:tabs>
        <w:rPr>
          <w:color w:val="C00000"/>
          <w:sz w:val="24"/>
        </w:rPr>
      </w:pPr>
      <w:r w:rsidRPr="00472D9A">
        <w:rPr>
          <w:color w:val="C00000"/>
          <w:sz w:val="24"/>
        </w:rPr>
        <w:t>AGGIORNAMENTO DEMOGRAFIA IMPRESE</w:t>
      </w:r>
      <w:r w:rsidRPr="00472D9A">
        <w:rPr>
          <w:color w:val="C00000"/>
          <w:sz w:val="24"/>
        </w:rPr>
        <w:tab/>
        <w:t>pag. 20</w:t>
      </w:r>
    </w:p>
    <w:p w:rsidR="000F4E4D" w:rsidRPr="00653CAE" w:rsidRDefault="000F4E4D" w:rsidP="00472D9A">
      <w:pPr>
        <w:tabs>
          <w:tab w:val="left" w:pos="7920"/>
        </w:tabs>
        <w:rPr>
          <w:sz w:val="24"/>
        </w:rPr>
      </w:pPr>
    </w:p>
    <w:p w:rsidR="000F4E4D" w:rsidRPr="00653CAE" w:rsidRDefault="000F4E4D" w:rsidP="00706678">
      <w:pPr>
        <w:rPr>
          <w:sz w:val="24"/>
        </w:rPr>
      </w:pPr>
    </w:p>
    <w:p w:rsidR="000F4E4D" w:rsidRPr="00706678" w:rsidRDefault="000F4E4D" w:rsidP="00706678">
      <w:pPr>
        <w:rPr>
          <w:color w:val="C00000"/>
          <w:sz w:val="28"/>
          <w:szCs w:val="28"/>
        </w:rPr>
      </w:pPr>
      <w:r w:rsidRPr="00706678">
        <w:rPr>
          <w:color w:val="C00000"/>
          <w:sz w:val="28"/>
          <w:szCs w:val="28"/>
        </w:rPr>
        <w:t>PREMESSA</w:t>
      </w:r>
    </w:p>
    <w:p w:rsidR="000F4E4D" w:rsidRDefault="000F4E4D" w:rsidP="00706678">
      <w:pPr>
        <w:jc w:val="center"/>
        <w:rPr>
          <w:b/>
          <w:color w:val="FF0000"/>
        </w:rPr>
      </w:pPr>
    </w:p>
    <w:p w:rsidR="000F4E4D" w:rsidRPr="00706678" w:rsidRDefault="000F4E4D" w:rsidP="00706678">
      <w:pPr>
        <w:autoSpaceDE w:val="0"/>
        <w:autoSpaceDN w:val="0"/>
        <w:adjustRightInd w:val="0"/>
        <w:spacing w:line="312" w:lineRule="auto"/>
        <w:ind w:firstLine="284"/>
        <w:rPr>
          <w:rFonts w:eastAsia="Arial Unicode MS"/>
          <w:sz w:val="24"/>
        </w:rPr>
      </w:pPr>
      <w:r w:rsidRPr="00706678">
        <w:rPr>
          <w:rFonts w:eastAsia="Arial Unicode MS"/>
          <w:sz w:val="24"/>
        </w:rPr>
        <w:t xml:space="preserve">L'indagine congiunturale sulle imprese dei settori del manifatturiero, delle costruzioni e del commercio al dettaglio, realizzata dal Centro Studi Unioncamere Nazionale per conto di Unioncamere Emilia-Romagna, si rivolge trimestralmente ad un campione di imprese con dipendenti, ricavato dal Registro Imprese, integrato con i dati ottenuti da </w:t>
      </w:r>
      <w:r>
        <w:rPr>
          <w:rFonts w:eastAsia="Arial Unicode MS"/>
          <w:sz w:val="24"/>
        </w:rPr>
        <w:t>altre fonti (in particolare Inps e Istat</w:t>
      </w:r>
      <w:r w:rsidRPr="00706678">
        <w:rPr>
          <w:rFonts w:eastAsia="Arial Unicode MS"/>
          <w:sz w:val="24"/>
        </w:rPr>
        <w:t>).</w:t>
      </w:r>
    </w:p>
    <w:p w:rsidR="000F4E4D" w:rsidRPr="00472D9A" w:rsidRDefault="000F4E4D" w:rsidP="00706678">
      <w:pPr>
        <w:autoSpaceDE w:val="0"/>
        <w:autoSpaceDN w:val="0"/>
        <w:adjustRightInd w:val="0"/>
        <w:spacing w:line="312" w:lineRule="auto"/>
        <w:ind w:firstLine="284"/>
        <w:rPr>
          <w:rFonts w:eastAsia="Arial Unicode MS"/>
          <w:i/>
          <w:sz w:val="18"/>
          <w:szCs w:val="18"/>
        </w:rPr>
      </w:pPr>
    </w:p>
    <w:p w:rsidR="000F4E4D" w:rsidRPr="00706678" w:rsidRDefault="000F4E4D" w:rsidP="00706678">
      <w:pPr>
        <w:autoSpaceDE w:val="0"/>
        <w:autoSpaceDN w:val="0"/>
        <w:adjustRightInd w:val="0"/>
        <w:spacing w:line="312" w:lineRule="auto"/>
        <w:ind w:firstLine="284"/>
        <w:rPr>
          <w:rFonts w:eastAsia="Arial Unicode MS"/>
          <w:sz w:val="24"/>
        </w:rPr>
      </w:pPr>
      <w:r w:rsidRPr="00706678">
        <w:rPr>
          <w:rFonts w:eastAsia="Arial Unicode MS"/>
          <w:i/>
          <w:sz w:val="24"/>
        </w:rPr>
        <w:t>A</w:t>
      </w:r>
      <w:r w:rsidRPr="00706678">
        <w:rPr>
          <w:rFonts w:eastAsia="Arial Unicode MS"/>
          <w:sz w:val="24"/>
        </w:rPr>
        <w:t xml:space="preserve"> </w:t>
      </w:r>
      <w:r w:rsidRPr="00706678">
        <w:rPr>
          <w:rFonts w:eastAsia="Arial Unicode MS"/>
          <w:i/>
          <w:sz w:val="24"/>
        </w:rPr>
        <w:t>livello regionale</w:t>
      </w:r>
      <w:r w:rsidRPr="00706678">
        <w:rPr>
          <w:rFonts w:eastAsia="Arial Unicode MS"/>
          <w:sz w:val="24"/>
        </w:rPr>
        <w:t xml:space="preserve"> il campione comprende circa 1.320 aziende dell’industria manifatturiera, 180 del settore edile e 800 del commercio al dettaglio, per un totale di 2.300; per ciò che riguarda il manifatturiero e l’edilizia, l’indagine è rappresentativa delle imprese fino a 500 dipendenti, mentre nel caso del commercio al dettaglio, l’indagine è rappresentativa della totalità delle imprese con dipendenti.</w:t>
      </w:r>
    </w:p>
    <w:p w:rsidR="000F4E4D" w:rsidRPr="00472D9A" w:rsidRDefault="000F4E4D" w:rsidP="00706678">
      <w:pPr>
        <w:autoSpaceDE w:val="0"/>
        <w:autoSpaceDN w:val="0"/>
        <w:adjustRightInd w:val="0"/>
        <w:spacing w:line="312" w:lineRule="auto"/>
        <w:ind w:firstLine="284"/>
        <w:rPr>
          <w:rFonts w:eastAsia="Arial Unicode MS"/>
          <w:sz w:val="18"/>
          <w:szCs w:val="18"/>
        </w:rPr>
      </w:pPr>
    </w:p>
    <w:p w:rsidR="000F4E4D" w:rsidRDefault="000F4E4D" w:rsidP="00706678">
      <w:pPr>
        <w:autoSpaceDE w:val="0"/>
        <w:autoSpaceDN w:val="0"/>
        <w:adjustRightInd w:val="0"/>
        <w:spacing w:line="312" w:lineRule="auto"/>
        <w:ind w:firstLine="284"/>
        <w:rPr>
          <w:rFonts w:eastAsia="Arial Unicode MS"/>
          <w:sz w:val="24"/>
        </w:rPr>
      </w:pPr>
      <w:r w:rsidRPr="00706678">
        <w:rPr>
          <w:rFonts w:eastAsia="Arial Unicode MS"/>
          <w:sz w:val="24"/>
        </w:rPr>
        <w:t>Nell'indagine, condotta telefonicamente con la tecnica CATI, viene chiesto alle imprese di dichiarare l'andamento congiunturale e tendenziale di una serie di indicatori economici, nonché la previsione per il trimestre successivo al trimestre di indagine; alcuni dei dati tendenziali (rispetto allo stesso trimestre dell’anno precedente) sono di tipo quantitativo, mentre i dati congiunturali (rispetto al trimestre precedente) e previsionali (riferiti al trimestre successivo) sono di tipo qualitativo.</w:t>
      </w:r>
    </w:p>
    <w:p w:rsidR="000F4E4D" w:rsidRPr="00472D9A" w:rsidRDefault="000F4E4D" w:rsidP="00706678">
      <w:pPr>
        <w:autoSpaceDE w:val="0"/>
        <w:autoSpaceDN w:val="0"/>
        <w:adjustRightInd w:val="0"/>
        <w:spacing w:line="312" w:lineRule="auto"/>
        <w:ind w:firstLine="284"/>
        <w:rPr>
          <w:rFonts w:eastAsia="Arial Unicode MS"/>
          <w:sz w:val="18"/>
          <w:szCs w:val="18"/>
        </w:rPr>
      </w:pPr>
    </w:p>
    <w:p w:rsidR="000F4E4D" w:rsidRDefault="000F4E4D" w:rsidP="00706678">
      <w:pPr>
        <w:autoSpaceDE w:val="0"/>
        <w:autoSpaceDN w:val="0"/>
        <w:adjustRightInd w:val="0"/>
        <w:spacing w:line="312" w:lineRule="auto"/>
        <w:ind w:firstLine="284"/>
        <w:rPr>
          <w:rFonts w:eastAsia="Arial Unicode MS"/>
          <w:sz w:val="24"/>
        </w:rPr>
      </w:pPr>
      <w:r>
        <w:rPr>
          <w:rFonts w:eastAsia="Arial Unicode MS"/>
          <w:sz w:val="24"/>
        </w:rPr>
        <w:t xml:space="preserve">I dati sulle imprese attive, iscritte, cessate e sugli addetti occupati, sono stati estratti e rielaborati dall’archivio </w:t>
      </w:r>
      <w:proofErr w:type="spellStart"/>
      <w:r>
        <w:rPr>
          <w:rFonts w:eastAsia="Arial Unicode MS"/>
          <w:sz w:val="24"/>
        </w:rPr>
        <w:t>Infocamere-Stockview</w:t>
      </w:r>
      <w:proofErr w:type="spellEnd"/>
      <w:r>
        <w:rPr>
          <w:rFonts w:eastAsia="Arial Unicode MS"/>
          <w:sz w:val="24"/>
        </w:rPr>
        <w:t xml:space="preserve">. Quelli sulla </w:t>
      </w:r>
      <w:proofErr w:type="spellStart"/>
      <w:r>
        <w:rPr>
          <w:rFonts w:eastAsia="Arial Unicode MS"/>
          <w:sz w:val="24"/>
        </w:rPr>
        <w:t>Cig</w:t>
      </w:r>
      <w:proofErr w:type="spellEnd"/>
      <w:r>
        <w:rPr>
          <w:rFonts w:eastAsia="Arial Unicode MS"/>
          <w:sz w:val="24"/>
        </w:rPr>
        <w:t xml:space="preserve"> (cassa integrazione guadagni) dagli archivi Inps.</w:t>
      </w:r>
    </w:p>
    <w:p w:rsidR="000F4E4D" w:rsidRPr="00472D9A" w:rsidRDefault="000F4E4D" w:rsidP="00706678">
      <w:pPr>
        <w:autoSpaceDE w:val="0"/>
        <w:autoSpaceDN w:val="0"/>
        <w:adjustRightInd w:val="0"/>
        <w:spacing w:line="312" w:lineRule="auto"/>
        <w:ind w:firstLine="284"/>
        <w:rPr>
          <w:rFonts w:eastAsia="Arial Unicode MS"/>
          <w:sz w:val="18"/>
          <w:szCs w:val="18"/>
        </w:rPr>
      </w:pPr>
    </w:p>
    <w:p w:rsidR="000F4E4D" w:rsidRPr="00706678" w:rsidRDefault="000F4E4D" w:rsidP="00706678">
      <w:pPr>
        <w:autoSpaceDE w:val="0"/>
        <w:autoSpaceDN w:val="0"/>
        <w:adjustRightInd w:val="0"/>
        <w:spacing w:line="312" w:lineRule="auto"/>
        <w:ind w:firstLine="284"/>
        <w:rPr>
          <w:rFonts w:eastAsia="Arial Unicode MS"/>
          <w:sz w:val="24"/>
        </w:rPr>
      </w:pPr>
      <w:r w:rsidRPr="005B2AE1">
        <w:rPr>
          <w:rFonts w:eastAsia="Arial Unicode MS"/>
          <w:sz w:val="24"/>
        </w:rPr>
        <w:t xml:space="preserve">Si integra </w:t>
      </w:r>
      <w:r>
        <w:rPr>
          <w:rFonts w:eastAsia="Arial Unicode MS"/>
          <w:sz w:val="24"/>
        </w:rPr>
        <w:t>la suddetta</w:t>
      </w:r>
      <w:r w:rsidRPr="005B2AE1">
        <w:rPr>
          <w:rFonts w:eastAsia="Arial Unicode MS"/>
          <w:sz w:val="24"/>
        </w:rPr>
        <w:t xml:space="preserve"> edizione dell’indagine congiunturale fornendo i dati sul commercio estero (fonte:</w:t>
      </w:r>
      <w:r>
        <w:rPr>
          <w:rFonts w:eastAsia="Arial Unicode MS"/>
          <w:sz w:val="24"/>
        </w:rPr>
        <w:t xml:space="preserve"> </w:t>
      </w:r>
      <w:proofErr w:type="spellStart"/>
      <w:r w:rsidRPr="005B2AE1">
        <w:rPr>
          <w:rFonts w:eastAsia="Arial Unicode MS"/>
          <w:sz w:val="24"/>
        </w:rPr>
        <w:t>Istat-Coeweb</w:t>
      </w:r>
      <w:proofErr w:type="spellEnd"/>
      <w:r w:rsidRPr="005B2AE1">
        <w:rPr>
          <w:rFonts w:eastAsia="Arial Unicode MS"/>
          <w:sz w:val="24"/>
        </w:rPr>
        <w:t>), anch’essi aggiornati al 3° trimestre</w:t>
      </w:r>
      <w:r>
        <w:rPr>
          <w:rFonts w:eastAsia="Arial Unicode MS"/>
          <w:sz w:val="24"/>
        </w:rPr>
        <w:t xml:space="preserve"> 2014 e sulla demografia delle imprese, sempre al 30 settembre 2014 (fonte: Registro Imprese)</w:t>
      </w:r>
      <w:r w:rsidRPr="005B2AE1">
        <w:rPr>
          <w:rFonts w:eastAsia="Arial Unicode MS"/>
          <w:sz w:val="24"/>
        </w:rPr>
        <w:t>.</w:t>
      </w:r>
    </w:p>
    <w:p w:rsidR="000F4E4D" w:rsidRDefault="000F4E4D" w:rsidP="0002428B">
      <w:pPr>
        <w:jc w:val="left"/>
        <w:rPr>
          <w:color w:val="C00000"/>
          <w:sz w:val="22"/>
          <w:szCs w:val="22"/>
        </w:rPr>
      </w:pPr>
    </w:p>
    <w:p w:rsidR="000F4E4D" w:rsidRPr="00706678" w:rsidRDefault="000F4E4D" w:rsidP="0002428B">
      <w:pPr>
        <w:jc w:val="left"/>
        <w:rPr>
          <w:color w:val="C00000"/>
          <w:sz w:val="22"/>
          <w:szCs w:val="22"/>
        </w:rPr>
      </w:pPr>
      <w:r>
        <w:rPr>
          <w:color w:val="C00000"/>
          <w:sz w:val="22"/>
          <w:szCs w:val="22"/>
        </w:rPr>
        <w:br w:type="page"/>
      </w:r>
      <w:r w:rsidRPr="00706678">
        <w:rPr>
          <w:color w:val="C00000"/>
          <w:sz w:val="22"/>
          <w:szCs w:val="22"/>
        </w:rPr>
        <w:lastRenderedPageBreak/>
        <w:t>1. CONGIUNTURA MANIFATTURIERA</w:t>
      </w:r>
    </w:p>
    <w:p w:rsidR="000F4E4D" w:rsidRPr="00111485" w:rsidRDefault="000F4E4D" w:rsidP="00706678">
      <w:pPr>
        <w:rPr>
          <w:b/>
          <w:sz w:val="22"/>
          <w:szCs w:val="22"/>
        </w:rPr>
      </w:pPr>
    </w:p>
    <w:p w:rsidR="000F4E4D" w:rsidRDefault="000F4E4D" w:rsidP="00F81B1C">
      <w:pPr>
        <w:autoSpaceDE w:val="0"/>
        <w:autoSpaceDN w:val="0"/>
        <w:adjustRightInd w:val="0"/>
        <w:spacing w:line="312" w:lineRule="auto"/>
        <w:ind w:firstLine="284"/>
        <w:rPr>
          <w:rFonts w:eastAsia="Arial Unicode MS"/>
          <w:sz w:val="24"/>
        </w:rPr>
      </w:pPr>
      <w:r w:rsidRPr="00CF6B05">
        <w:rPr>
          <w:rFonts w:cs="Arial"/>
          <w:sz w:val="24"/>
        </w:rPr>
        <w:t xml:space="preserve">L’analisi </w:t>
      </w:r>
      <w:r>
        <w:rPr>
          <w:rFonts w:cs="Arial"/>
          <w:sz w:val="24"/>
        </w:rPr>
        <w:t xml:space="preserve">del 3° trimestre 2014 </w:t>
      </w:r>
      <w:r w:rsidRPr="00CF6B05">
        <w:rPr>
          <w:rFonts w:cs="Arial"/>
          <w:sz w:val="24"/>
        </w:rPr>
        <w:t>delinea un contesto ancora di evidenti difficoltà del tessuto produttivo</w:t>
      </w:r>
      <w:r>
        <w:rPr>
          <w:rFonts w:eastAsia="Arial Unicode MS" w:cs="Arial"/>
          <w:sz w:val="24"/>
        </w:rPr>
        <w:t xml:space="preserve"> che </w:t>
      </w:r>
      <w:r w:rsidRPr="00CF6B05">
        <w:rPr>
          <w:rFonts w:cs="Arial"/>
          <w:sz w:val="24"/>
        </w:rPr>
        <w:t>continua a pagare il prezzo di un mercato interno static</w:t>
      </w:r>
      <w:r>
        <w:rPr>
          <w:rFonts w:cs="Arial"/>
          <w:sz w:val="24"/>
        </w:rPr>
        <w:t>o; è proprio la contrazione della domanda interna che</w:t>
      </w:r>
      <w:r w:rsidRPr="00CF6B05">
        <w:rPr>
          <w:rFonts w:eastAsia="Arial Unicode MS"/>
          <w:sz w:val="24"/>
        </w:rPr>
        <w:t xml:space="preserve"> rappresenta il principale elemento di freno per la congiuntura manifatturiera</w:t>
      </w:r>
      <w:r>
        <w:rPr>
          <w:rFonts w:eastAsia="Arial Unicode MS"/>
          <w:sz w:val="24"/>
        </w:rPr>
        <w:t xml:space="preserve">, in quanto </w:t>
      </w:r>
      <w:r w:rsidRPr="00CF6B05">
        <w:rPr>
          <w:rFonts w:eastAsia="Arial Unicode MS"/>
          <w:sz w:val="24"/>
        </w:rPr>
        <w:t>il calo dei consumi privati, comportando minori ordini degli esercenti del commercio nei confronti dei produttori, si riflette in un decremento della produzione di beni con ripercussioni</w:t>
      </w:r>
      <w:r>
        <w:rPr>
          <w:rFonts w:eastAsia="Arial Unicode MS"/>
          <w:sz w:val="24"/>
        </w:rPr>
        <w:t xml:space="preserve"> sia sul fatturato e che </w:t>
      </w:r>
      <w:r w:rsidRPr="00CF6B05">
        <w:rPr>
          <w:rFonts w:eastAsia="Arial Unicode MS"/>
          <w:sz w:val="24"/>
        </w:rPr>
        <w:t>sull’occupazione.</w:t>
      </w:r>
    </w:p>
    <w:p w:rsidR="000F4E4D" w:rsidRDefault="000F4E4D" w:rsidP="00F81B1C">
      <w:pPr>
        <w:autoSpaceDE w:val="0"/>
        <w:autoSpaceDN w:val="0"/>
        <w:adjustRightInd w:val="0"/>
        <w:spacing w:line="312" w:lineRule="auto"/>
        <w:ind w:firstLine="284"/>
        <w:rPr>
          <w:rFonts w:eastAsia="Arial Unicode MS"/>
          <w:sz w:val="24"/>
        </w:rPr>
      </w:pPr>
      <w:r>
        <w:rPr>
          <w:rFonts w:eastAsia="Arial Unicode MS"/>
          <w:sz w:val="24"/>
        </w:rPr>
        <w:t>Situazione difficile che si evince non solo nei dati quantitativi di seguito analizzati ma anche in un indice qualitativo molto interessante, quale l</w:t>
      </w:r>
      <w:r w:rsidRPr="00386FFF">
        <w:rPr>
          <w:rFonts w:eastAsia="Arial Unicode MS"/>
          <w:sz w:val="24"/>
        </w:rPr>
        <w:t>’</w:t>
      </w:r>
      <w:r w:rsidRPr="00386FFF">
        <w:rPr>
          <w:rFonts w:eastAsia="Arial Unicode MS"/>
          <w:i/>
          <w:sz w:val="24"/>
        </w:rPr>
        <w:t>indice del</w:t>
      </w:r>
      <w:r>
        <w:rPr>
          <w:rFonts w:eastAsia="Arial Unicode MS"/>
          <w:sz w:val="24"/>
        </w:rPr>
        <w:t xml:space="preserve"> </w:t>
      </w:r>
      <w:r w:rsidRPr="00386FFF">
        <w:rPr>
          <w:rFonts w:eastAsia="Arial Unicode MS"/>
          <w:i/>
          <w:sz w:val="24"/>
        </w:rPr>
        <w:t xml:space="preserve">clima di fiducia delle imprese </w:t>
      </w:r>
      <w:r>
        <w:rPr>
          <w:rFonts w:eastAsia="Arial Unicode MS"/>
          <w:sz w:val="24"/>
        </w:rPr>
        <w:t xml:space="preserve">(che include giudizi sul livello degli ordini e delle scorte di magazzino e attese sul livello della produzione), elaborato dall’Istat in base 100; tale indice, riferito alle imprese manifatturiere, registra a settembre 2014 il più basso valore dall’inizio dell’anno: 95,1. </w:t>
      </w:r>
    </w:p>
    <w:p w:rsidR="000F4E4D" w:rsidRDefault="000F4E4D" w:rsidP="001F1F6B">
      <w:pPr>
        <w:autoSpaceDE w:val="0"/>
        <w:autoSpaceDN w:val="0"/>
        <w:adjustRightInd w:val="0"/>
        <w:spacing w:line="312" w:lineRule="auto"/>
        <w:ind w:firstLine="284"/>
        <w:rPr>
          <w:rFonts w:cs="Arial"/>
          <w:sz w:val="24"/>
        </w:rPr>
      </w:pPr>
      <w:r>
        <w:rPr>
          <w:rFonts w:cs="Arial"/>
          <w:sz w:val="24"/>
        </w:rPr>
        <w:t>Occorre comunque dire che la situazione non risulta omogenea a livello nazionale, con le imprese del Nord Ovest che, dal lato della produzione, mostrano dati positivi mentre difficoltà maggiori si riscontrano nelle imprese del Centro-Sud, con dati ancora  negativi; nel Nord Est, invece, la situazione è nel complesso stazionaria, con il Veneto in ripresa e l’Emilia-Romagna ancora in sofferenza, con valori che risultano, con riferimento alle principali variabili, in tutte le province (eccetto Reggio Emilia) negativi.</w:t>
      </w:r>
    </w:p>
    <w:p w:rsidR="000F4E4D" w:rsidRDefault="000F4E4D" w:rsidP="001F1F6B">
      <w:pPr>
        <w:autoSpaceDE w:val="0"/>
        <w:autoSpaceDN w:val="0"/>
        <w:adjustRightInd w:val="0"/>
        <w:spacing w:line="312" w:lineRule="auto"/>
        <w:ind w:firstLine="284"/>
        <w:rPr>
          <w:rFonts w:cs="Arial"/>
          <w:sz w:val="24"/>
        </w:rPr>
      </w:pPr>
    </w:p>
    <w:tbl>
      <w:tblPr>
        <w:tblStyle w:val="Grigliatabella"/>
        <w:tblpPr w:vertAnchor="text" w:horzAnchor="margin" w:tblpXSpec="center"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531"/>
        <w:gridCol w:w="1588"/>
        <w:gridCol w:w="3062"/>
        <w:gridCol w:w="113"/>
        <w:gridCol w:w="3062"/>
      </w:tblGrid>
      <w:tr w:rsidR="00612756" w:rsidTr="00071161">
        <w:trPr>
          <w:cantSplit/>
        </w:trPr>
        <w:tc>
          <w:tcPr>
            <w:tcW w:w="9356" w:type="dxa"/>
            <w:gridSpan w:val="5"/>
          </w:tcPr>
          <w:p w:rsidR="00612756" w:rsidRDefault="00612756" w:rsidP="00071161">
            <w:pPr>
              <w:pStyle w:val="figuretitolo"/>
            </w:pPr>
            <w:r>
              <w:t>Congiuntura. Riepilogo trimestrale</w:t>
            </w:r>
          </w:p>
        </w:tc>
      </w:tr>
      <w:tr w:rsidR="00612756" w:rsidTr="00071161">
        <w:trPr>
          <w:cantSplit/>
        </w:trPr>
        <w:tc>
          <w:tcPr>
            <w:tcW w:w="1531" w:type="dxa"/>
          </w:tcPr>
          <w:p w:rsidR="00612756" w:rsidRDefault="00612756" w:rsidP="00071161">
            <w:pPr>
              <w:pStyle w:val="figuresottotitolo"/>
            </w:pPr>
          </w:p>
        </w:tc>
        <w:tc>
          <w:tcPr>
            <w:tcW w:w="1588" w:type="dxa"/>
          </w:tcPr>
          <w:p w:rsidR="00612756" w:rsidRDefault="00612756" w:rsidP="00071161">
            <w:pPr>
              <w:pStyle w:val="figuresottotitolo"/>
            </w:pPr>
          </w:p>
        </w:tc>
        <w:tc>
          <w:tcPr>
            <w:tcW w:w="3062" w:type="dxa"/>
            <w:shd w:val="clear" w:color="auto" w:fill="F2F2F2" w:themeFill="background1" w:themeFillShade="F2"/>
          </w:tcPr>
          <w:p w:rsidR="00612756" w:rsidRDefault="00612756" w:rsidP="00071161">
            <w:pPr>
              <w:pStyle w:val="figuresottotitolo"/>
            </w:pPr>
            <w:r>
              <w:t>Rimini</w:t>
            </w:r>
          </w:p>
        </w:tc>
        <w:tc>
          <w:tcPr>
            <w:tcW w:w="113" w:type="dxa"/>
          </w:tcPr>
          <w:p w:rsidR="00612756" w:rsidRDefault="00612756" w:rsidP="00071161">
            <w:pPr>
              <w:pStyle w:val="figuresottotitolo"/>
            </w:pPr>
          </w:p>
        </w:tc>
        <w:tc>
          <w:tcPr>
            <w:tcW w:w="3062" w:type="dxa"/>
            <w:shd w:val="clear" w:color="auto" w:fill="F2F2F2" w:themeFill="background1" w:themeFillShade="F2"/>
          </w:tcPr>
          <w:p w:rsidR="00612756" w:rsidRDefault="00612756" w:rsidP="00071161">
            <w:pPr>
              <w:pStyle w:val="figuresottotitolo"/>
            </w:pPr>
            <w:r w:rsidRPr="001D4310">
              <w:t>Emilia-Romagna</w:t>
            </w:r>
            <w:r>
              <w:t xml:space="preserve"> / Italia (*)</w:t>
            </w:r>
          </w:p>
        </w:tc>
      </w:tr>
      <w:tr w:rsidR="00612756" w:rsidTr="00071161">
        <w:trPr>
          <w:cantSplit/>
          <w:trHeight w:hRule="exact" w:val="57"/>
        </w:trPr>
        <w:tc>
          <w:tcPr>
            <w:tcW w:w="1531" w:type="dxa"/>
            <w:shd w:val="clear" w:color="auto" w:fill="D9D9D9" w:themeFill="background1" w:themeFillShade="D9"/>
            <w:vAlign w:val="center"/>
          </w:tcPr>
          <w:p w:rsidR="00612756" w:rsidRDefault="00612756" w:rsidP="00071161">
            <w:pPr>
              <w:pStyle w:val="tabetic"/>
            </w:pPr>
          </w:p>
        </w:tc>
        <w:tc>
          <w:tcPr>
            <w:tcW w:w="1588" w:type="dxa"/>
            <w:shd w:val="clear" w:color="auto" w:fill="D9D9D9" w:themeFill="background1" w:themeFillShade="D9"/>
            <w:vAlign w:val="center"/>
          </w:tcPr>
          <w:p w:rsidR="00612756" w:rsidRDefault="00612756" w:rsidP="00071161">
            <w:pPr>
              <w:pStyle w:val="tabetic"/>
            </w:pPr>
          </w:p>
        </w:tc>
        <w:tc>
          <w:tcPr>
            <w:tcW w:w="3062" w:type="dxa"/>
            <w:shd w:val="clear" w:color="auto" w:fill="D9D9D9" w:themeFill="background1" w:themeFillShade="D9"/>
            <w:vAlign w:val="center"/>
          </w:tcPr>
          <w:p w:rsidR="00612756" w:rsidRDefault="00612756" w:rsidP="00071161">
            <w:pPr>
              <w:pStyle w:val="tabetic"/>
            </w:pPr>
          </w:p>
        </w:tc>
        <w:tc>
          <w:tcPr>
            <w:tcW w:w="113" w:type="dxa"/>
            <w:shd w:val="clear" w:color="auto" w:fill="D9D9D9" w:themeFill="background1" w:themeFillShade="D9"/>
            <w:vAlign w:val="center"/>
          </w:tcPr>
          <w:p w:rsidR="00612756" w:rsidRDefault="00612756" w:rsidP="00071161">
            <w:pPr>
              <w:pStyle w:val="figure"/>
            </w:pPr>
          </w:p>
        </w:tc>
        <w:tc>
          <w:tcPr>
            <w:tcW w:w="3062" w:type="dxa"/>
            <w:shd w:val="clear" w:color="auto" w:fill="D9D9D9" w:themeFill="background1" w:themeFillShade="D9"/>
            <w:vAlign w:val="center"/>
          </w:tcPr>
          <w:p w:rsidR="00612756" w:rsidRDefault="00612756" w:rsidP="00071161">
            <w:pPr>
              <w:pStyle w:val="figure"/>
            </w:pPr>
          </w:p>
        </w:tc>
      </w:tr>
      <w:tr w:rsidR="00612756" w:rsidTr="00071161">
        <w:trPr>
          <w:cantSplit/>
          <w:trHeight w:val="1985"/>
        </w:trPr>
        <w:tc>
          <w:tcPr>
            <w:tcW w:w="1531" w:type="dxa"/>
            <w:vAlign w:val="center"/>
          </w:tcPr>
          <w:p w:rsidR="00612756" w:rsidRDefault="00612756" w:rsidP="00071161">
            <w:pPr>
              <w:pStyle w:val="tabetic"/>
            </w:pPr>
            <w:r>
              <w:t>Industria</w:t>
            </w:r>
          </w:p>
        </w:tc>
        <w:tc>
          <w:tcPr>
            <w:tcW w:w="1588" w:type="dxa"/>
            <w:vAlign w:val="center"/>
          </w:tcPr>
          <w:p w:rsidR="00612756" w:rsidRDefault="00612756" w:rsidP="00071161">
            <w:pPr>
              <w:pStyle w:val="figure"/>
            </w:pPr>
            <w:r w:rsidRPr="000D30F1">
              <w:rPr>
                <w:noProof/>
              </w:rPr>
              <w:drawing>
                <wp:inline distT="0" distB="0" distL="0" distR="0">
                  <wp:extent cx="2879425" cy="1440000"/>
                  <wp:effectExtent l="19050" t="0" r="0" b="0"/>
                  <wp:docPr id="33"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3062" w:type="dxa"/>
            <w:shd w:val="clear" w:color="auto" w:fill="F2F2F2" w:themeFill="background1" w:themeFillShade="F2"/>
            <w:vAlign w:val="center"/>
          </w:tcPr>
          <w:p w:rsidR="00612756" w:rsidRDefault="00612756" w:rsidP="00071161">
            <w:pPr>
              <w:pStyle w:val="figure"/>
            </w:pPr>
            <w:r w:rsidRPr="000D30F1">
              <w:rPr>
                <w:noProof/>
              </w:rPr>
              <w:drawing>
                <wp:inline distT="0" distB="0" distL="0" distR="0">
                  <wp:extent cx="1871932" cy="1440000"/>
                  <wp:effectExtent l="0" t="0" r="0" b="0"/>
                  <wp:docPr id="34"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113" w:type="dxa"/>
            <w:vAlign w:val="center"/>
          </w:tcPr>
          <w:p w:rsidR="00612756" w:rsidRDefault="00612756" w:rsidP="00071161">
            <w:pPr>
              <w:pStyle w:val="figure"/>
            </w:pPr>
          </w:p>
        </w:tc>
        <w:tc>
          <w:tcPr>
            <w:tcW w:w="3062" w:type="dxa"/>
            <w:shd w:val="clear" w:color="auto" w:fill="F2F2F2" w:themeFill="background1" w:themeFillShade="F2"/>
            <w:vAlign w:val="center"/>
          </w:tcPr>
          <w:p w:rsidR="00612756" w:rsidRDefault="00612756" w:rsidP="00071161">
            <w:pPr>
              <w:pStyle w:val="figure"/>
            </w:pPr>
            <w:r w:rsidRPr="000D30F1">
              <w:rPr>
                <w:noProof/>
              </w:rPr>
              <w:drawing>
                <wp:inline distT="0" distB="0" distL="0" distR="0">
                  <wp:extent cx="1871932" cy="1440000"/>
                  <wp:effectExtent l="0" t="0" r="0" b="0"/>
                  <wp:docPr id="35"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612756" w:rsidTr="00071161">
        <w:trPr>
          <w:cantSplit/>
          <w:trHeight w:hRule="exact" w:val="57"/>
        </w:trPr>
        <w:tc>
          <w:tcPr>
            <w:tcW w:w="1531" w:type="dxa"/>
            <w:shd w:val="clear" w:color="auto" w:fill="D9D9D9" w:themeFill="background1" w:themeFillShade="D9"/>
            <w:vAlign w:val="center"/>
          </w:tcPr>
          <w:p w:rsidR="00612756" w:rsidRDefault="00612756" w:rsidP="00071161">
            <w:pPr>
              <w:pStyle w:val="tabetic"/>
            </w:pPr>
          </w:p>
        </w:tc>
        <w:tc>
          <w:tcPr>
            <w:tcW w:w="1588" w:type="dxa"/>
            <w:shd w:val="clear" w:color="auto" w:fill="D9D9D9" w:themeFill="background1" w:themeFillShade="D9"/>
            <w:vAlign w:val="center"/>
          </w:tcPr>
          <w:p w:rsidR="00612756" w:rsidRDefault="00612756" w:rsidP="00071161">
            <w:pPr>
              <w:pStyle w:val="tabetic"/>
            </w:pPr>
          </w:p>
        </w:tc>
        <w:tc>
          <w:tcPr>
            <w:tcW w:w="3062" w:type="dxa"/>
            <w:shd w:val="clear" w:color="auto" w:fill="D9D9D9" w:themeFill="background1" w:themeFillShade="D9"/>
            <w:vAlign w:val="center"/>
          </w:tcPr>
          <w:p w:rsidR="00612756" w:rsidRDefault="00612756" w:rsidP="00071161">
            <w:pPr>
              <w:pStyle w:val="tabetic"/>
            </w:pPr>
          </w:p>
        </w:tc>
        <w:tc>
          <w:tcPr>
            <w:tcW w:w="113" w:type="dxa"/>
            <w:shd w:val="clear" w:color="auto" w:fill="D9D9D9" w:themeFill="background1" w:themeFillShade="D9"/>
            <w:vAlign w:val="center"/>
          </w:tcPr>
          <w:p w:rsidR="00612756" w:rsidRDefault="00612756" w:rsidP="00071161">
            <w:pPr>
              <w:pStyle w:val="figure"/>
            </w:pPr>
          </w:p>
        </w:tc>
        <w:tc>
          <w:tcPr>
            <w:tcW w:w="3062" w:type="dxa"/>
            <w:shd w:val="clear" w:color="auto" w:fill="D9D9D9" w:themeFill="background1" w:themeFillShade="D9"/>
            <w:vAlign w:val="center"/>
          </w:tcPr>
          <w:p w:rsidR="00612756" w:rsidRDefault="00612756" w:rsidP="00071161">
            <w:pPr>
              <w:pStyle w:val="figure"/>
            </w:pPr>
          </w:p>
        </w:tc>
      </w:tr>
      <w:tr w:rsidR="00612756" w:rsidTr="00071161">
        <w:trPr>
          <w:cantSplit/>
          <w:trHeight w:hRule="exact" w:val="567"/>
        </w:trPr>
        <w:tc>
          <w:tcPr>
            <w:tcW w:w="1531" w:type="dxa"/>
            <w:vAlign w:val="center"/>
          </w:tcPr>
          <w:p w:rsidR="00612756" w:rsidRDefault="00612756" w:rsidP="00071161">
            <w:pPr>
              <w:pStyle w:val="tabetic"/>
            </w:pPr>
            <w:r>
              <w:t>Artigianato</w:t>
            </w:r>
          </w:p>
        </w:tc>
        <w:tc>
          <w:tcPr>
            <w:tcW w:w="1588" w:type="dxa"/>
            <w:vAlign w:val="center"/>
          </w:tcPr>
          <w:p w:rsidR="00612756" w:rsidRDefault="00612756" w:rsidP="00071161">
            <w:pPr>
              <w:pStyle w:val="tabnum"/>
            </w:pPr>
            <w:r>
              <w:t>Produzione(1)</w:t>
            </w:r>
            <w:r>
              <w:tab/>
            </w:r>
          </w:p>
        </w:tc>
        <w:tc>
          <w:tcPr>
            <w:tcW w:w="3062" w:type="dxa"/>
            <w:shd w:val="clear" w:color="auto" w:fill="F2F2F2" w:themeFill="background1" w:themeFillShade="F2"/>
            <w:vAlign w:val="center"/>
          </w:tcPr>
          <w:p w:rsidR="00612756" w:rsidRDefault="00612756" w:rsidP="00071161">
            <w:pPr>
              <w:pStyle w:val="figure"/>
            </w:pPr>
            <w:r w:rsidRPr="00331555">
              <w:rPr>
                <w:noProof/>
              </w:rPr>
              <w:drawing>
                <wp:inline distT="0" distB="0" distL="0" distR="0">
                  <wp:extent cx="1871932" cy="360000"/>
                  <wp:effectExtent l="0" t="0" r="0" b="0"/>
                  <wp:docPr id="224"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113" w:type="dxa"/>
            <w:vAlign w:val="center"/>
          </w:tcPr>
          <w:p w:rsidR="00612756" w:rsidRDefault="00612756" w:rsidP="00071161">
            <w:pPr>
              <w:pStyle w:val="figure"/>
            </w:pPr>
          </w:p>
        </w:tc>
        <w:tc>
          <w:tcPr>
            <w:tcW w:w="3062" w:type="dxa"/>
            <w:shd w:val="clear" w:color="auto" w:fill="F2F2F2" w:themeFill="background1" w:themeFillShade="F2"/>
            <w:vAlign w:val="center"/>
          </w:tcPr>
          <w:p w:rsidR="00612756" w:rsidRDefault="00612756" w:rsidP="00071161">
            <w:pPr>
              <w:pStyle w:val="figure"/>
            </w:pPr>
            <w:r w:rsidRPr="0084321F">
              <w:rPr>
                <w:noProof/>
              </w:rPr>
              <w:drawing>
                <wp:inline distT="0" distB="0" distL="0" distR="0">
                  <wp:extent cx="1871932" cy="360000"/>
                  <wp:effectExtent l="0" t="0" r="0" b="0"/>
                  <wp:docPr id="230"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612756" w:rsidTr="00071161">
        <w:trPr>
          <w:cantSplit/>
          <w:trHeight w:hRule="exact" w:val="57"/>
        </w:trPr>
        <w:tc>
          <w:tcPr>
            <w:tcW w:w="1531" w:type="dxa"/>
            <w:shd w:val="clear" w:color="auto" w:fill="D9D9D9" w:themeFill="background1" w:themeFillShade="D9"/>
            <w:vAlign w:val="center"/>
          </w:tcPr>
          <w:p w:rsidR="00612756" w:rsidRDefault="00612756" w:rsidP="00071161">
            <w:pPr>
              <w:pStyle w:val="tabetic"/>
            </w:pPr>
          </w:p>
        </w:tc>
        <w:tc>
          <w:tcPr>
            <w:tcW w:w="1588" w:type="dxa"/>
            <w:shd w:val="clear" w:color="auto" w:fill="D9D9D9" w:themeFill="background1" w:themeFillShade="D9"/>
            <w:vAlign w:val="center"/>
          </w:tcPr>
          <w:p w:rsidR="00612756" w:rsidRDefault="00612756" w:rsidP="00071161">
            <w:pPr>
              <w:pStyle w:val="tabetic"/>
            </w:pPr>
          </w:p>
        </w:tc>
        <w:tc>
          <w:tcPr>
            <w:tcW w:w="3062" w:type="dxa"/>
            <w:shd w:val="clear" w:color="auto" w:fill="D9D9D9" w:themeFill="background1" w:themeFillShade="D9"/>
            <w:vAlign w:val="center"/>
          </w:tcPr>
          <w:p w:rsidR="00612756" w:rsidRDefault="00612756" w:rsidP="00071161">
            <w:pPr>
              <w:pStyle w:val="tabetic"/>
            </w:pPr>
          </w:p>
        </w:tc>
        <w:tc>
          <w:tcPr>
            <w:tcW w:w="113" w:type="dxa"/>
            <w:shd w:val="clear" w:color="auto" w:fill="D9D9D9" w:themeFill="background1" w:themeFillShade="D9"/>
            <w:vAlign w:val="center"/>
          </w:tcPr>
          <w:p w:rsidR="00612756" w:rsidRDefault="00612756" w:rsidP="00071161">
            <w:pPr>
              <w:pStyle w:val="figure"/>
            </w:pPr>
          </w:p>
        </w:tc>
        <w:tc>
          <w:tcPr>
            <w:tcW w:w="3062" w:type="dxa"/>
            <w:shd w:val="clear" w:color="auto" w:fill="D9D9D9" w:themeFill="background1" w:themeFillShade="D9"/>
            <w:vAlign w:val="center"/>
          </w:tcPr>
          <w:p w:rsidR="00612756" w:rsidRDefault="00612756" w:rsidP="00071161">
            <w:pPr>
              <w:pStyle w:val="figure"/>
            </w:pPr>
          </w:p>
        </w:tc>
      </w:tr>
      <w:tr w:rsidR="00612756" w:rsidTr="00071161">
        <w:trPr>
          <w:cantSplit/>
          <w:trHeight w:hRule="exact" w:val="567"/>
        </w:trPr>
        <w:tc>
          <w:tcPr>
            <w:tcW w:w="1531" w:type="dxa"/>
            <w:vAlign w:val="center"/>
          </w:tcPr>
          <w:p w:rsidR="00612756" w:rsidRDefault="00612756" w:rsidP="00071161">
            <w:pPr>
              <w:pStyle w:val="tabetic"/>
            </w:pPr>
            <w:r>
              <w:t>Costruzioni</w:t>
            </w:r>
          </w:p>
        </w:tc>
        <w:tc>
          <w:tcPr>
            <w:tcW w:w="1588" w:type="dxa"/>
            <w:vAlign w:val="center"/>
          </w:tcPr>
          <w:p w:rsidR="00612756" w:rsidRDefault="00612756" w:rsidP="00071161">
            <w:pPr>
              <w:pStyle w:val="tabnum"/>
            </w:pPr>
            <w:r>
              <w:t>Volume d’affari (1)</w:t>
            </w:r>
            <w:r>
              <w:tab/>
            </w:r>
          </w:p>
        </w:tc>
        <w:tc>
          <w:tcPr>
            <w:tcW w:w="3062" w:type="dxa"/>
            <w:shd w:val="clear" w:color="auto" w:fill="F2F2F2" w:themeFill="background1" w:themeFillShade="F2"/>
            <w:vAlign w:val="center"/>
          </w:tcPr>
          <w:p w:rsidR="00612756" w:rsidRDefault="00612756" w:rsidP="00071161">
            <w:pPr>
              <w:pStyle w:val="figure"/>
            </w:pPr>
            <w:r w:rsidRPr="00BA2DC7">
              <w:rPr>
                <w:noProof/>
              </w:rPr>
              <w:drawing>
                <wp:inline distT="0" distB="0" distL="0" distR="0">
                  <wp:extent cx="1870364" cy="360000"/>
                  <wp:effectExtent l="0" t="0" r="0" b="0"/>
                  <wp:docPr id="231"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113" w:type="dxa"/>
            <w:vAlign w:val="center"/>
          </w:tcPr>
          <w:p w:rsidR="00612756" w:rsidRDefault="00612756" w:rsidP="00071161">
            <w:pPr>
              <w:pStyle w:val="figure"/>
            </w:pPr>
          </w:p>
        </w:tc>
        <w:tc>
          <w:tcPr>
            <w:tcW w:w="3062" w:type="dxa"/>
            <w:shd w:val="clear" w:color="auto" w:fill="F2F2F2" w:themeFill="background1" w:themeFillShade="F2"/>
            <w:vAlign w:val="center"/>
          </w:tcPr>
          <w:p w:rsidR="00612756" w:rsidRDefault="00612756" w:rsidP="00071161">
            <w:pPr>
              <w:pStyle w:val="figure"/>
            </w:pPr>
            <w:r w:rsidRPr="00F34BE7">
              <w:rPr>
                <w:noProof/>
              </w:rPr>
              <w:drawing>
                <wp:inline distT="0" distB="0" distL="0" distR="0">
                  <wp:extent cx="1870364" cy="360000"/>
                  <wp:effectExtent l="0" t="0" r="0" b="0"/>
                  <wp:docPr id="232"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612756" w:rsidTr="00071161">
        <w:trPr>
          <w:cantSplit/>
          <w:trHeight w:hRule="exact" w:val="57"/>
        </w:trPr>
        <w:tc>
          <w:tcPr>
            <w:tcW w:w="1531" w:type="dxa"/>
            <w:shd w:val="clear" w:color="auto" w:fill="D9D9D9" w:themeFill="background1" w:themeFillShade="D9"/>
            <w:vAlign w:val="center"/>
          </w:tcPr>
          <w:p w:rsidR="00612756" w:rsidRDefault="00612756" w:rsidP="00071161">
            <w:pPr>
              <w:pStyle w:val="tabetic"/>
            </w:pPr>
          </w:p>
        </w:tc>
        <w:tc>
          <w:tcPr>
            <w:tcW w:w="1588" w:type="dxa"/>
            <w:shd w:val="clear" w:color="auto" w:fill="D9D9D9" w:themeFill="background1" w:themeFillShade="D9"/>
            <w:vAlign w:val="center"/>
          </w:tcPr>
          <w:p w:rsidR="00612756" w:rsidRDefault="00612756" w:rsidP="00071161">
            <w:pPr>
              <w:pStyle w:val="tabetic"/>
            </w:pPr>
          </w:p>
        </w:tc>
        <w:tc>
          <w:tcPr>
            <w:tcW w:w="3062" w:type="dxa"/>
            <w:shd w:val="clear" w:color="auto" w:fill="D9D9D9" w:themeFill="background1" w:themeFillShade="D9"/>
            <w:vAlign w:val="center"/>
          </w:tcPr>
          <w:p w:rsidR="00612756" w:rsidRDefault="00612756" w:rsidP="00071161">
            <w:pPr>
              <w:pStyle w:val="tabetic"/>
            </w:pPr>
          </w:p>
        </w:tc>
        <w:tc>
          <w:tcPr>
            <w:tcW w:w="113" w:type="dxa"/>
            <w:shd w:val="clear" w:color="auto" w:fill="D9D9D9" w:themeFill="background1" w:themeFillShade="D9"/>
            <w:vAlign w:val="center"/>
          </w:tcPr>
          <w:p w:rsidR="00612756" w:rsidRDefault="00612756" w:rsidP="00071161">
            <w:pPr>
              <w:pStyle w:val="figure"/>
            </w:pPr>
          </w:p>
        </w:tc>
        <w:tc>
          <w:tcPr>
            <w:tcW w:w="3062" w:type="dxa"/>
            <w:shd w:val="clear" w:color="auto" w:fill="D9D9D9" w:themeFill="background1" w:themeFillShade="D9"/>
            <w:vAlign w:val="center"/>
          </w:tcPr>
          <w:p w:rsidR="00612756" w:rsidRDefault="00612756" w:rsidP="00071161">
            <w:pPr>
              <w:pStyle w:val="figure"/>
            </w:pPr>
          </w:p>
        </w:tc>
      </w:tr>
      <w:tr w:rsidR="00612756" w:rsidTr="00071161">
        <w:trPr>
          <w:cantSplit/>
          <w:trHeight w:hRule="exact" w:val="567"/>
        </w:trPr>
        <w:tc>
          <w:tcPr>
            <w:tcW w:w="1531" w:type="dxa"/>
            <w:vAlign w:val="center"/>
          </w:tcPr>
          <w:p w:rsidR="00612756" w:rsidRDefault="00612756" w:rsidP="00071161">
            <w:pPr>
              <w:pStyle w:val="tabetic"/>
            </w:pPr>
            <w:r>
              <w:t xml:space="preserve">Artigianato </w:t>
            </w:r>
            <w:r>
              <w:br/>
              <w:t>delle costruzioni</w:t>
            </w:r>
          </w:p>
        </w:tc>
        <w:tc>
          <w:tcPr>
            <w:tcW w:w="1588" w:type="dxa"/>
            <w:vAlign w:val="center"/>
          </w:tcPr>
          <w:p w:rsidR="00612756" w:rsidRDefault="00612756" w:rsidP="00071161">
            <w:pPr>
              <w:pStyle w:val="tabnum"/>
            </w:pPr>
            <w:r>
              <w:t>Volume d’affari (1)</w:t>
            </w:r>
            <w:r>
              <w:tab/>
            </w:r>
          </w:p>
        </w:tc>
        <w:tc>
          <w:tcPr>
            <w:tcW w:w="3062" w:type="dxa"/>
            <w:shd w:val="clear" w:color="auto" w:fill="F2F2F2" w:themeFill="background1" w:themeFillShade="F2"/>
            <w:vAlign w:val="center"/>
          </w:tcPr>
          <w:p w:rsidR="00612756" w:rsidRDefault="00612756" w:rsidP="00071161">
            <w:pPr>
              <w:pStyle w:val="figure"/>
            </w:pPr>
            <w:r w:rsidRPr="00BA2DC7">
              <w:rPr>
                <w:noProof/>
              </w:rPr>
              <w:drawing>
                <wp:inline distT="0" distB="0" distL="0" distR="0">
                  <wp:extent cx="1870364" cy="360000"/>
                  <wp:effectExtent l="0" t="0" r="0" b="0"/>
                  <wp:docPr id="233"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113" w:type="dxa"/>
            <w:vAlign w:val="center"/>
          </w:tcPr>
          <w:p w:rsidR="00612756" w:rsidRDefault="00612756" w:rsidP="00071161">
            <w:pPr>
              <w:pStyle w:val="figure"/>
            </w:pPr>
          </w:p>
        </w:tc>
        <w:tc>
          <w:tcPr>
            <w:tcW w:w="3062" w:type="dxa"/>
            <w:shd w:val="clear" w:color="auto" w:fill="F2F2F2" w:themeFill="background1" w:themeFillShade="F2"/>
            <w:vAlign w:val="center"/>
          </w:tcPr>
          <w:p w:rsidR="00612756" w:rsidRDefault="00612756" w:rsidP="00071161">
            <w:pPr>
              <w:pStyle w:val="figure"/>
            </w:pPr>
            <w:r w:rsidRPr="00F34BE7">
              <w:rPr>
                <w:noProof/>
              </w:rPr>
              <w:drawing>
                <wp:inline distT="0" distB="0" distL="0" distR="0">
                  <wp:extent cx="1870364" cy="360000"/>
                  <wp:effectExtent l="0" t="0" r="0" b="0"/>
                  <wp:docPr id="234"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12756" w:rsidTr="00071161">
        <w:trPr>
          <w:cantSplit/>
          <w:trHeight w:hRule="exact" w:val="57"/>
        </w:trPr>
        <w:tc>
          <w:tcPr>
            <w:tcW w:w="1531" w:type="dxa"/>
            <w:shd w:val="clear" w:color="auto" w:fill="D9D9D9" w:themeFill="background1" w:themeFillShade="D9"/>
            <w:vAlign w:val="center"/>
          </w:tcPr>
          <w:p w:rsidR="00612756" w:rsidRDefault="00612756" w:rsidP="00071161">
            <w:pPr>
              <w:pStyle w:val="tabetic"/>
            </w:pPr>
          </w:p>
        </w:tc>
        <w:tc>
          <w:tcPr>
            <w:tcW w:w="1588" w:type="dxa"/>
            <w:shd w:val="clear" w:color="auto" w:fill="D9D9D9" w:themeFill="background1" w:themeFillShade="D9"/>
            <w:vAlign w:val="center"/>
          </w:tcPr>
          <w:p w:rsidR="00612756" w:rsidRDefault="00612756" w:rsidP="00071161">
            <w:pPr>
              <w:pStyle w:val="tabetic"/>
            </w:pPr>
          </w:p>
        </w:tc>
        <w:tc>
          <w:tcPr>
            <w:tcW w:w="3062" w:type="dxa"/>
            <w:shd w:val="clear" w:color="auto" w:fill="D9D9D9" w:themeFill="background1" w:themeFillShade="D9"/>
            <w:vAlign w:val="center"/>
          </w:tcPr>
          <w:p w:rsidR="00612756" w:rsidRDefault="00612756" w:rsidP="00071161">
            <w:pPr>
              <w:pStyle w:val="tabetic"/>
            </w:pPr>
          </w:p>
        </w:tc>
        <w:tc>
          <w:tcPr>
            <w:tcW w:w="113" w:type="dxa"/>
            <w:shd w:val="clear" w:color="auto" w:fill="D9D9D9" w:themeFill="background1" w:themeFillShade="D9"/>
            <w:vAlign w:val="center"/>
          </w:tcPr>
          <w:p w:rsidR="00612756" w:rsidRDefault="00612756" w:rsidP="00071161">
            <w:pPr>
              <w:pStyle w:val="figure"/>
            </w:pPr>
          </w:p>
        </w:tc>
        <w:tc>
          <w:tcPr>
            <w:tcW w:w="3062" w:type="dxa"/>
            <w:shd w:val="clear" w:color="auto" w:fill="D9D9D9" w:themeFill="background1" w:themeFillShade="D9"/>
            <w:vAlign w:val="center"/>
          </w:tcPr>
          <w:p w:rsidR="00612756" w:rsidRDefault="00612756" w:rsidP="00071161">
            <w:pPr>
              <w:pStyle w:val="figure"/>
            </w:pPr>
          </w:p>
        </w:tc>
      </w:tr>
      <w:tr w:rsidR="00612756" w:rsidTr="00071161">
        <w:trPr>
          <w:cantSplit/>
          <w:trHeight w:hRule="exact" w:val="567"/>
        </w:trPr>
        <w:tc>
          <w:tcPr>
            <w:tcW w:w="1531" w:type="dxa"/>
            <w:vAlign w:val="center"/>
          </w:tcPr>
          <w:p w:rsidR="00612756" w:rsidRDefault="00612756" w:rsidP="00071161">
            <w:pPr>
              <w:pStyle w:val="tabetic"/>
            </w:pPr>
            <w:r>
              <w:t xml:space="preserve">Commercio </w:t>
            </w:r>
            <w:r>
              <w:br/>
              <w:t>al dettaglio</w:t>
            </w:r>
          </w:p>
        </w:tc>
        <w:tc>
          <w:tcPr>
            <w:tcW w:w="1588" w:type="dxa"/>
            <w:vAlign w:val="center"/>
          </w:tcPr>
          <w:p w:rsidR="00612756" w:rsidRDefault="00612756" w:rsidP="00071161">
            <w:pPr>
              <w:pStyle w:val="tabnum"/>
            </w:pPr>
            <w:r>
              <w:t>Vendite (1)</w:t>
            </w:r>
            <w:r>
              <w:tab/>
            </w:r>
          </w:p>
        </w:tc>
        <w:tc>
          <w:tcPr>
            <w:tcW w:w="3062" w:type="dxa"/>
            <w:shd w:val="clear" w:color="auto" w:fill="F2F2F2" w:themeFill="background1" w:themeFillShade="F2"/>
            <w:vAlign w:val="center"/>
          </w:tcPr>
          <w:p w:rsidR="00612756" w:rsidRDefault="00612756" w:rsidP="00071161">
            <w:pPr>
              <w:pStyle w:val="figure"/>
            </w:pPr>
            <w:r w:rsidRPr="00BA2DC7">
              <w:rPr>
                <w:noProof/>
              </w:rPr>
              <w:drawing>
                <wp:inline distT="0" distB="0" distL="0" distR="0">
                  <wp:extent cx="1870364" cy="360000"/>
                  <wp:effectExtent l="0" t="0" r="0" b="0"/>
                  <wp:docPr id="235"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113" w:type="dxa"/>
            <w:vAlign w:val="center"/>
          </w:tcPr>
          <w:p w:rsidR="00612756" w:rsidRDefault="00612756" w:rsidP="00071161">
            <w:pPr>
              <w:pStyle w:val="figure"/>
            </w:pPr>
          </w:p>
        </w:tc>
        <w:tc>
          <w:tcPr>
            <w:tcW w:w="3062" w:type="dxa"/>
            <w:shd w:val="clear" w:color="auto" w:fill="F2F2F2" w:themeFill="background1" w:themeFillShade="F2"/>
            <w:vAlign w:val="center"/>
          </w:tcPr>
          <w:p w:rsidR="00612756" w:rsidRDefault="00612756" w:rsidP="00071161">
            <w:pPr>
              <w:pStyle w:val="figure"/>
            </w:pPr>
            <w:r w:rsidRPr="00A177D6">
              <w:rPr>
                <w:noProof/>
              </w:rPr>
              <w:drawing>
                <wp:inline distT="0" distB="0" distL="0" distR="0">
                  <wp:extent cx="1870364" cy="360000"/>
                  <wp:effectExtent l="0" t="0" r="0" b="0"/>
                  <wp:docPr id="236"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12756" w:rsidTr="00071161">
        <w:trPr>
          <w:cantSplit/>
          <w:trHeight w:hRule="exact" w:val="57"/>
        </w:trPr>
        <w:tc>
          <w:tcPr>
            <w:tcW w:w="1531" w:type="dxa"/>
            <w:shd w:val="clear" w:color="auto" w:fill="D9D9D9" w:themeFill="background1" w:themeFillShade="D9"/>
            <w:vAlign w:val="center"/>
          </w:tcPr>
          <w:p w:rsidR="00612756" w:rsidRDefault="00612756" w:rsidP="00071161">
            <w:pPr>
              <w:pStyle w:val="tabetic"/>
            </w:pPr>
          </w:p>
        </w:tc>
        <w:tc>
          <w:tcPr>
            <w:tcW w:w="1588" w:type="dxa"/>
            <w:shd w:val="clear" w:color="auto" w:fill="D9D9D9" w:themeFill="background1" w:themeFillShade="D9"/>
            <w:vAlign w:val="center"/>
          </w:tcPr>
          <w:p w:rsidR="00612756" w:rsidRDefault="00612756" w:rsidP="00071161">
            <w:pPr>
              <w:pStyle w:val="tabetic"/>
            </w:pPr>
          </w:p>
        </w:tc>
        <w:tc>
          <w:tcPr>
            <w:tcW w:w="3062" w:type="dxa"/>
            <w:shd w:val="clear" w:color="auto" w:fill="D9D9D9" w:themeFill="background1" w:themeFillShade="D9"/>
            <w:vAlign w:val="center"/>
          </w:tcPr>
          <w:p w:rsidR="00612756" w:rsidRDefault="00612756" w:rsidP="00071161">
            <w:pPr>
              <w:pStyle w:val="tabetic"/>
            </w:pPr>
          </w:p>
        </w:tc>
        <w:tc>
          <w:tcPr>
            <w:tcW w:w="113" w:type="dxa"/>
            <w:shd w:val="clear" w:color="auto" w:fill="D9D9D9" w:themeFill="background1" w:themeFillShade="D9"/>
            <w:vAlign w:val="center"/>
          </w:tcPr>
          <w:p w:rsidR="00612756" w:rsidRDefault="00612756" w:rsidP="00071161">
            <w:pPr>
              <w:pStyle w:val="figure"/>
            </w:pPr>
          </w:p>
        </w:tc>
        <w:tc>
          <w:tcPr>
            <w:tcW w:w="3062" w:type="dxa"/>
            <w:shd w:val="clear" w:color="auto" w:fill="D9D9D9" w:themeFill="background1" w:themeFillShade="D9"/>
            <w:vAlign w:val="center"/>
          </w:tcPr>
          <w:p w:rsidR="00612756" w:rsidRDefault="00612756" w:rsidP="00071161">
            <w:pPr>
              <w:pStyle w:val="figure"/>
            </w:pPr>
          </w:p>
        </w:tc>
      </w:tr>
      <w:tr w:rsidR="00612756" w:rsidTr="00071161">
        <w:trPr>
          <w:cantSplit/>
          <w:trHeight w:hRule="exact" w:val="57"/>
        </w:trPr>
        <w:tc>
          <w:tcPr>
            <w:tcW w:w="1531" w:type="dxa"/>
            <w:vAlign w:val="center"/>
          </w:tcPr>
          <w:p w:rsidR="00612756" w:rsidRDefault="00612756" w:rsidP="00071161">
            <w:pPr>
              <w:pStyle w:val="tabetic"/>
            </w:pPr>
          </w:p>
        </w:tc>
        <w:tc>
          <w:tcPr>
            <w:tcW w:w="1588" w:type="dxa"/>
            <w:vAlign w:val="center"/>
          </w:tcPr>
          <w:p w:rsidR="00612756" w:rsidRDefault="00612756" w:rsidP="00071161">
            <w:pPr>
              <w:pStyle w:val="tabetic"/>
            </w:pPr>
          </w:p>
        </w:tc>
        <w:tc>
          <w:tcPr>
            <w:tcW w:w="3062" w:type="dxa"/>
            <w:vAlign w:val="center"/>
          </w:tcPr>
          <w:p w:rsidR="00612756" w:rsidRDefault="00612756" w:rsidP="00071161">
            <w:pPr>
              <w:pStyle w:val="tabetic"/>
            </w:pPr>
          </w:p>
        </w:tc>
        <w:tc>
          <w:tcPr>
            <w:tcW w:w="3175" w:type="dxa"/>
            <w:gridSpan w:val="2"/>
            <w:vAlign w:val="center"/>
          </w:tcPr>
          <w:p w:rsidR="00612756" w:rsidRDefault="00612756" w:rsidP="00071161">
            <w:pPr>
              <w:pStyle w:val="figure"/>
            </w:pPr>
          </w:p>
        </w:tc>
      </w:tr>
      <w:tr w:rsidR="00612756" w:rsidTr="00071161">
        <w:trPr>
          <w:cantSplit/>
        </w:trPr>
        <w:tc>
          <w:tcPr>
            <w:tcW w:w="9356" w:type="dxa"/>
            <w:gridSpan w:val="5"/>
          </w:tcPr>
          <w:p w:rsidR="00612756" w:rsidRDefault="00612756" w:rsidP="00071161">
            <w:pPr>
              <w:pStyle w:val="tabnote"/>
            </w:pPr>
            <w:r>
              <w:t xml:space="preserve">(*) il confronto è fatto con riferimento all’Italia per l’industria e all’Emilia-Romagna per gli altri settori. </w:t>
            </w:r>
            <w:r w:rsidRPr="009D09AB">
              <w:t xml:space="preserve">(1) </w:t>
            </w:r>
            <w:r w:rsidRPr="00045AE7">
              <w:t>Tasso di variazione rispetto all</w:t>
            </w:r>
            <w:r>
              <w:t>o stesso trimestre dell’</w:t>
            </w:r>
            <w:r w:rsidRPr="00045AE7">
              <w:t>anno precedente</w:t>
            </w:r>
            <w:r>
              <w:t>.</w:t>
            </w:r>
          </w:p>
          <w:p w:rsidR="00612756" w:rsidRDefault="00612756" w:rsidP="00071161">
            <w:pPr>
              <w:pStyle w:val="figurefonte"/>
            </w:pPr>
            <w:r>
              <w:t>Fonte: Camera di commercio di Rimini, Unioncamere Emilia-Romagna, Unioncamere</w:t>
            </w:r>
          </w:p>
        </w:tc>
      </w:tr>
    </w:tbl>
    <w:p w:rsidR="00C379E0" w:rsidRDefault="00C379E0" w:rsidP="0038259F">
      <w:pPr>
        <w:spacing w:line="319" w:lineRule="auto"/>
        <w:ind w:firstLine="284"/>
        <w:rPr>
          <w:rFonts w:eastAsia="Arial Unicode MS"/>
          <w:sz w:val="24"/>
        </w:rPr>
      </w:pPr>
    </w:p>
    <w:p w:rsidR="000F4E4D" w:rsidRPr="00F81B1C" w:rsidRDefault="0038259F" w:rsidP="0038259F">
      <w:pPr>
        <w:spacing w:line="319" w:lineRule="auto"/>
        <w:ind w:firstLine="284"/>
        <w:rPr>
          <w:rFonts w:eastAsia="Arial Unicode MS"/>
          <w:sz w:val="24"/>
        </w:rPr>
      </w:pPr>
      <w:r>
        <w:rPr>
          <w:rFonts w:eastAsia="Arial Unicode MS"/>
          <w:sz w:val="24"/>
        </w:rPr>
        <w:br w:type="page"/>
      </w:r>
      <w:r w:rsidR="000F4E4D" w:rsidRPr="000C7AE1">
        <w:rPr>
          <w:rFonts w:eastAsia="Arial Unicode MS"/>
          <w:sz w:val="24"/>
        </w:rPr>
        <w:lastRenderedPageBreak/>
        <w:t xml:space="preserve">I dati di seguito riportati descrivono la situazione del manifatturiero in provincia di Rimini. </w:t>
      </w:r>
      <w:r w:rsidR="000F4E4D" w:rsidRPr="007A746C">
        <w:rPr>
          <w:rFonts w:eastAsia="Arial Unicode MS"/>
          <w:sz w:val="24"/>
        </w:rPr>
        <w:t>Al 30/09/2014 la consistenza delle imprese attive ammonta a 2.677 unità, con un calo del 2,2% rispetto al 30/09/2013, mentre nei primi nove mesi dell’anno in corso</w:t>
      </w:r>
      <w:r w:rsidR="000F4E4D">
        <w:rPr>
          <w:rFonts w:eastAsia="Arial Unicode MS"/>
          <w:sz w:val="24"/>
        </w:rPr>
        <w:t>,</w:t>
      </w:r>
      <w:r w:rsidR="000F4E4D" w:rsidRPr="007A746C">
        <w:rPr>
          <w:rFonts w:eastAsia="Arial Unicode MS"/>
          <w:sz w:val="24"/>
        </w:rPr>
        <w:t xml:space="preserve"> le 132 cessazioni hanno superato le 89 iscrizioni, determinando un saldo nati-mortalità negativo (-43); sul versante occupazione, al 30/09/2</w:t>
      </w:r>
      <w:r w:rsidR="000F4E4D">
        <w:rPr>
          <w:rFonts w:eastAsia="Arial Unicode MS"/>
          <w:sz w:val="24"/>
        </w:rPr>
        <w:t xml:space="preserve">014 gli addetti risultano </w:t>
      </w:r>
      <w:smartTag w:uri="urn:schemas-microsoft-com:office:smarttags" w:element="metricconverter">
        <w:smartTagPr>
          <w:attr w:name="ProductID" w:val="21.187, in"/>
        </w:smartTagPr>
        <w:r w:rsidR="000F4E4D">
          <w:rPr>
            <w:rFonts w:eastAsia="Arial Unicode MS"/>
            <w:sz w:val="24"/>
          </w:rPr>
          <w:t>21.</w:t>
        </w:r>
        <w:r w:rsidR="000F4E4D" w:rsidRPr="007A746C">
          <w:rPr>
            <w:rFonts w:eastAsia="Arial Unicode MS"/>
            <w:sz w:val="24"/>
          </w:rPr>
          <w:t>187, in</w:t>
        </w:r>
      </w:smartTag>
      <w:r w:rsidR="000F4E4D" w:rsidRPr="007A746C">
        <w:rPr>
          <w:rFonts w:eastAsia="Arial Unicode MS"/>
          <w:sz w:val="24"/>
        </w:rPr>
        <w:t xml:space="preserve"> lieve aumento dello 0,3% rispetto al 30/09/2013, mentre la cassa integrazione nel suo complesso</w:t>
      </w:r>
      <w:r w:rsidR="000F4E4D">
        <w:rPr>
          <w:rFonts w:eastAsia="Arial Unicode MS"/>
          <w:sz w:val="24"/>
        </w:rPr>
        <w:t>,</w:t>
      </w:r>
      <w:r w:rsidR="000F4E4D" w:rsidRPr="007A746C">
        <w:rPr>
          <w:rFonts w:eastAsia="Arial Unicode MS"/>
          <w:sz w:val="24"/>
        </w:rPr>
        <w:t xml:space="preserve"> nel periodo gennaio-settembre </w:t>
      </w:r>
      <w:smartTag w:uri="urn:schemas-microsoft-com:office:smarttags" w:element="metricconverter">
        <w:smartTagPr>
          <w:attr w:name="ProductID" w:val="2014, ha"/>
        </w:smartTagPr>
        <w:r w:rsidR="000F4E4D" w:rsidRPr="007A746C">
          <w:rPr>
            <w:rFonts w:eastAsia="Arial Unicode MS"/>
            <w:sz w:val="24"/>
          </w:rPr>
          <w:t>2014</w:t>
        </w:r>
        <w:r w:rsidR="000F4E4D">
          <w:rPr>
            <w:rFonts w:eastAsia="Arial Unicode MS"/>
            <w:sz w:val="24"/>
          </w:rPr>
          <w:t>,</w:t>
        </w:r>
        <w:r w:rsidR="000F4E4D" w:rsidRPr="007A746C">
          <w:rPr>
            <w:rFonts w:eastAsia="Arial Unicode MS"/>
            <w:sz w:val="24"/>
          </w:rPr>
          <w:t xml:space="preserve"> ha</w:t>
        </w:r>
      </w:smartTag>
      <w:r w:rsidR="000F4E4D" w:rsidRPr="007A746C">
        <w:rPr>
          <w:rFonts w:eastAsia="Arial Unicode MS"/>
          <w:sz w:val="24"/>
        </w:rPr>
        <w:t xml:space="preserve"> fatto registrare un -16,1% rispetto allo stesso periodo dell’anno precedente.</w:t>
      </w:r>
    </w:p>
    <w:p w:rsidR="000F4E4D" w:rsidRPr="00F81B1C" w:rsidRDefault="000F4E4D" w:rsidP="00F81B1C">
      <w:pPr>
        <w:autoSpaceDE w:val="0"/>
        <w:autoSpaceDN w:val="0"/>
        <w:adjustRightInd w:val="0"/>
        <w:spacing w:line="312" w:lineRule="auto"/>
        <w:ind w:firstLine="284"/>
        <w:rPr>
          <w:rFonts w:eastAsia="Arial Unicode MS"/>
          <w:sz w:val="24"/>
        </w:rPr>
      </w:pPr>
    </w:p>
    <w:p w:rsidR="000F4E4D" w:rsidRPr="00F81B1C" w:rsidRDefault="000F4E4D" w:rsidP="00706678">
      <w:pPr>
        <w:spacing w:line="312" w:lineRule="auto"/>
        <w:ind w:firstLine="284"/>
        <w:rPr>
          <w:rStyle w:val="titoloscenarioer28pt"/>
          <w:sz w:val="24"/>
          <w:lang w:val="pl-PL"/>
        </w:rPr>
      </w:pPr>
      <w:r>
        <w:rPr>
          <w:rStyle w:val="titoloscenarioer28pt"/>
          <w:sz w:val="24"/>
          <w:lang w:val="pl-PL"/>
        </w:rPr>
        <w:t>Rimini &gt; Dati consuntivi al 3</w:t>
      </w:r>
      <w:r w:rsidRPr="00F81B1C">
        <w:rPr>
          <w:rStyle w:val="titoloscenarioer28pt"/>
          <w:sz w:val="24"/>
          <w:lang w:val="pl-PL"/>
        </w:rPr>
        <w:t>° trimestre 2014</w:t>
      </w:r>
    </w:p>
    <w:p w:rsidR="000F4E4D" w:rsidRPr="00163510" w:rsidRDefault="000F4E4D" w:rsidP="00706678">
      <w:pPr>
        <w:spacing w:line="312" w:lineRule="auto"/>
        <w:ind w:firstLine="284"/>
        <w:rPr>
          <w:sz w:val="24"/>
        </w:rPr>
      </w:pPr>
    </w:p>
    <w:p w:rsidR="000F4E4D" w:rsidRDefault="000F4E4D" w:rsidP="00F81B1C">
      <w:pPr>
        <w:spacing w:line="312" w:lineRule="auto"/>
        <w:ind w:firstLine="284"/>
        <w:rPr>
          <w:rStyle w:val="titoloscenarioer28pt"/>
          <w:b/>
          <w:sz w:val="24"/>
          <w:lang w:val="pl-PL"/>
        </w:rPr>
      </w:pPr>
      <w:r w:rsidRPr="00E034F5">
        <w:rPr>
          <w:rStyle w:val="titoloscenarioer28pt"/>
          <w:b/>
          <w:sz w:val="24"/>
          <w:lang w:val="pl-PL"/>
        </w:rPr>
        <w:t>- PRODUZIONE</w:t>
      </w:r>
    </w:p>
    <w:p w:rsidR="000F4E4D" w:rsidRPr="00E034F5" w:rsidRDefault="000F4E4D" w:rsidP="00F81B1C">
      <w:pPr>
        <w:spacing w:line="312" w:lineRule="auto"/>
        <w:ind w:firstLine="284"/>
        <w:rPr>
          <w:rStyle w:val="titoloscenarioer28pt"/>
          <w:b/>
          <w:sz w:val="24"/>
          <w:lang w:val="pl-PL"/>
        </w:rPr>
      </w:pPr>
    </w:p>
    <w:p w:rsidR="000F4E4D" w:rsidRDefault="000F4E4D" w:rsidP="0038259F">
      <w:pPr>
        <w:jc w:val="center"/>
        <w:rPr>
          <w:b/>
          <w:sz w:val="22"/>
          <w:szCs w:val="22"/>
          <w:bdr w:val="single" w:sz="4" w:space="0" w:color="auto"/>
        </w:rPr>
      </w:pPr>
      <w:r w:rsidRPr="00FD3D6C">
        <w:rPr>
          <w:b/>
          <w:sz w:val="22"/>
          <w:szCs w:val="22"/>
        </w:rPr>
        <w:t>Imprese Totali</w:t>
      </w:r>
    </w:p>
    <w:p w:rsidR="000F4E4D" w:rsidRPr="00E034F5" w:rsidRDefault="000F4E4D" w:rsidP="0038259F">
      <w:pPr>
        <w:spacing w:before="120"/>
        <w:jc w:val="center"/>
        <w:rPr>
          <w:b/>
          <w:i/>
          <w:sz w:val="18"/>
          <w:szCs w:val="18"/>
        </w:rPr>
      </w:pPr>
      <w:r w:rsidRPr="00E034F5">
        <w:rPr>
          <w:i/>
          <w:sz w:val="18"/>
          <w:szCs w:val="18"/>
        </w:rPr>
        <w:t>TAV. 2</w:t>
      </w:r>
    </w:p>
    <w:p w:rsidR="000F4E4D" w:rsidRDefault="00C379E0" w:rsidP="00980E6B">
      <w:pPr>
        <w:autoSpaceDE w:val="0"/>
        <w:autoSpaceDN w:val="0"/>
        <w:adjustRightInd w:val="0"/>
        <w:spacing w:line="312" w:lineRule="auto"/>
        <w:jc w:val="center"/>
      </w:pPr>
      <w:r>
        <w:rPr>
          <w:noProof/>
        </w:rPr>
        <w:drawing>
          <wp:inline distT="0" distB="0" distL="0" distR="0">
            <wp:extent cx="3590925" cy="2171700"/>
            <wp:effectExtent l="0" t="0" r="0" b="0"/>
            <wp:docPr id="30"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20"/>
                    <a:srcRect/>
                    <a:stretch>
                      <a:fillRect/>
                    </a:stretch>
                  </pic:blipFill>
                  <pic:spPr bwMode="auto">
                    <a:xfrm>
                      <a:off x="0" y="0"/>
                      <a:ext cx="3590925" cy="2171700"/>
                    </a:xfrm>
                    <a:prstGeom prst="rect">
                      <a:avLst/>
                    </a:prstGeom>
                    <a:noFill/>
                    <a:ln w="9525">
                      <a:noFill/>
                      <a:miter lim="800000"/>
                      <a:headEnd/>
                      <a:tailEnd/>
                    </a:ln>
                  </pic:spPr>
                </pic:pic>
              </a:graphicData>
            </a:graphic>
          </wp:inline>
        </w:drawing>
      </w:r>
      <w:r w:rsidR="000F4E4D">
        <w:t xml:space="preserve">      </w:t>
      </w:r>
    </w:p>
    <w:p w:rsidR="000F4E4D" w:rsidRDefault="000F4E4D" w:rsidP="00980E6B">
      <w:pPr>
        <w:autoSpaceDE w:val="0"/>
        <w:autoSpaceDN w:val="0"/>
        <w:adjustRightInd w:val="0"/>
        <w:spacing w:line="312" w:lineRule="auto"/>
        <w:jc w:val="center"/>
        <w:rPr>
          <w:rFonts w:eastAsia="Arial Unicode MS"/>
          <w:sz w:val="24"/>
        </w:rPr>
      </w:pPr>
    </w:p>
    <w:p w:rsidR="000F4E4D" w:rsidRDefault="000F4E4D" w:rsidP="0038259F">
      <w:pPr>
        <w:jc w:val="center"/>
        <w:rPr>
          <w:b/>
          <w:sz w:val="22"/>
          <w:szCs w:val="22"/>
          <w:bdr w:val="single" w:sz="4" w:space="0" w:color="auto"/>
        </w:rPr>
      </w:pPr>
      <w:r w:rsidRPr="00FD3D6C">
        <w:rPr>
          <w:b/>
          <w:sz w:val="22"/>
          <w:szCs w:val="22"/>
        </w:rPr>
        <w:t>Imprese Artigiane</w:t>
      </w:r>
    </w:p>
    <w:p w:rsidR="000F4E4D" w:rsidRPr="00E034F5" w:rsidRDefault="000F4E4D" w:rsidP="00682044">
      <w:pPr>
        <w:spacing w:before="120"/>
        <w:jc w:val="center"/>
        <w:rPr>
          <w:b/>
          <w:i/>
          <w:sz w:val="18"/>
          <w:szCs w:val="18"/>
          <w:bdr w:val="single" w:sz="4" w:space="0" w:color="auto"/>
        </w:rPr>
      </w:pPr>
      <w:r>
        <w:rPr>
          <w:i/>
          <w:sz w:val="18"/>
          <w:szCs w:val="18"/>
        </w:rPr>
        <w:t>TAV. 3</w:t>
      </w:r>
    </w:p>
    <w:p w:rsidR="000F4E4D" w:rsidRPr="00980E6B" w:rsidRDefault="00C379E0" w:rsidP="00980E6B">
      <w:pPr>
        <w:jc w:val="center"/>
      </w:pPr>
      <w:r>
        <w:rPr>
          <w:noProof/>
        </w:rPr>
        <w:drawing>
          <wp:inline distT="0" distB="0" distL="0" distR="0">
            <wp:extent cx="3571875" cy="2171700"/>
            <wp:effectExtent l="0" t="0" r="0" b="0"/>
            <wp:docPr id="29"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21"/>
                    <a:srcRect/>
                    <a:stretch>
                      <a:fillRect/>
                    </a:stretch>
                  </pic:blipFill>
                  <pic:spPr bwMode="auto">
                    <a:xfrm>
                      <a:off x="0" y="0"/>
                      <a:ext cx="3571875" cy="2171700"/>
                    </a:xfrm>
                    <a:prstGeom prst="rect">
                      <a:avLst/>
                    </a:prstGeom>
                    <a:noFill/>
                    <a:ln w="9525">
                      <a:noFill/>
                      <a:miter lim="800000"/>
                      <a:headEnd/>
                      <a:tailEnd/>
                    </a:ln>
                  </pic:spPr>
                </pic:pic>
              </a:graphicData>
            </a:graphic>
          </wp:inline>
        </w:drawing>
      </w:r>
    </w:p>
    <w:p w:rsidR="000F4E4D" w:rsidRPr="00FB469E" w:rsidRDefault="000F4E4D" w:rsidP="0012072C">
      <w:pPr>
        <w:ind w:left="708" w:firstLine="912"/>
        <w:rPr>
          <w:sz w:val="28"/>
          <w:szCs w:val="28"/>
        </w:rPr>
      </w:pPr>
    </w:p>
    <w:p w:rsidR="000F4E4D" w:rsidRDefault="000F4E4D" w:rsidP="00F81B1C">
      <w:pPr>
        <w:autoSpaceDE w:val="0"/>
        <w:autoSpaceDN w:val="0"/>
        <w:adjustRightInd w:val="0"/>
        <w:spacing w:line="312" w:lineRule="auto"/>
        <w:ind w:firstLine="284"/>
        <w:rPr>
          <w:rFonts w:eastAsia="Arial Unicode MS"/>
          <w:sz w:val="24"/>
        </w:rPr>
      </w:pPr>
    </w:p>
    <w:p w:rsidR="000F4E4D" w:rsidRDefault="000F4E4D" w:rsidP="00F81B1C">
      <w:pPr>
        <w:autoSpaceDE w:val="0"/>
        <w:autoSpaceDN w:val="0"/>
        <w:adjustRightInd w:val="0"/>
        <w:spacing w:line="312" w:lineRule="auto"/>
        <w:ind w:firstLine="284"/>
        <w:rPr>
          <w:rFonts w:eastAsia="Arial Unicode MS"/>
          <w:sz w:val="24"/>
        </w:rPr>
      </w:pPr>
    </w:p>
    <w:p w:rsidR="000F4E4D" w:rsidRDefault="00163510" w:rsidP="00F81B1C">
      <w:pPr>
        <w:autoSpaceDE w:val="0"/>
        <w:autoSpaceDN w:val="0"/>
        <w:adjustRightInd w:val="0"/>
        <w:spacing w:line="312" w:lineRule="auto"/>
        <w:ind w:firstLine="284"/>
        <w:rPr>
          <w:rFonts w:eastAsia="Arial Unicode MS"/>
          <w:sz w:val="24"/>
        </w:rPr>
      </w:pPr>
      <w:r>
        <w:rPr>
          <w:rFonts w:eastAsia="Arial Unicode MS"/>
          <w:sz w:val="24"/>
        </w:rPr>
        <w:br w:type="page"/>
      </w:r>
      <w:r w:rsidR="000F4E4D" w:rsidRPr="007A48AB">
        <w:rPr>
          <w:rFonts w:eastAsia="Arial Unicode MS"/>
          <w:sz w:val="24"/>
        </w:rPr>
        <w:lastRenderedPageBreak/>
        <w:t>La produzione registra una diminuzione del 2,5% rispetto allo stesso trimestre dell’anno precedente, analogamente a ciò che si rileva in Emilia-Romagna (-1,2%) e in Italia (-0,8%). Osservando la serie storica trimestrale degli ultimi due anni si evidenziano dati sempre negativi, con valori altalenanti.</w:t>
      </w:r>
    </w:p>
    <w:p w:rsidR="000F4E4D" w:rsidRPr="007A48AB" w:rsidRDefault="000F4E4D" w:rsidP="00F81B1C">
      <w:pPr>
        <w:autoSpaceDE w:val="0"/>
        <w:autoSpaceDN w:val="0"/>
        <w:adjustRightInd w:val="0"/>
        <w:spacing w:line="312" w:lineRule="auto"/>
        <w:ind w:firstLine="284"/>
        <w:rPr>
          <w:rFonts w:eastAsia="Arial Unicode MS"/>
          <w:sz w:val="24"/>
        </w:rPr>
      </w:pPr>
    </w:p>
    <w:p w:rsidR="000F4E4D" w:rsidRPr="00B358AE" w:rsidRDefault="000F4E4D" w:rsidP="00F81B1C">
      <w:pPr>
        <w:autoSpaceDE w:val="0"/>
        <w:autoSpaceDN w:val="0"/>
        <w:adjustRightInd w:val="0"/>
        <w:spacing w:line="312" w:lineRule="auto"/>
        <w:ind w:firstLine="284"/>
        <w:rPr>
          <w:rFonts w:eastAsia="Arial Unicode MS"/>
          <w:sz w:val="24"/>
        </w:rPr>
      </w:pPr>
      <w:r w:rsidRPr="00B358AE">
        <w:rPr>
          <w:rFonts w:eastAsia="Arial Unicode MS"/>
          <w:sz w:val="24"/>
        </w:rPr>
        <w:t>Rispetto al 2° trimestre 201</w:t>
      </w:r>
      <w:r>
        <w:rPr>
          <w:rFonts w:eastAsia="Arial Unicode MS"/>
          <w:sz w:val="24"/>
        </w:rPr>
        <w:t>4, il 20</w:t>
      </w:r>
      <w:r w:rsidRPr="00B358AE">
        <w:rPr>
          <w:rFonts w:eastAsia="Arial Unicode MS"/>
          <w:sz w:val="24"/>
        </w:rPr>
        <w:t>%</w:t>
      </w:r>
      <w:r>
        <w:rPr>
          <w:rFonts w:eastAsia="Arial Unicode MS"/>
          <w:sz w:val="24"/>
        </w:rPr>
        <w:t xml:space="preserve"> circa</w:t>
      </w:r>
      <w:r w:rsidRPr="00B358AE">
        <w:rPr>
          <w:rFonts w:eastAsia="Arial Unicode MS"/>
          <w:sz w:val="24"/>
        </w:rPr>
        <w:t xml:space="preserve"> delle imprese ha riscontrato un aumento della produzione, il </w:t>
      </w:r>
      <w:r>
        <w:rPr>
          <w:rFonts w:eastAsia="Arial Unicode MS"/>
          <w:sz w:val="24"/>
        </w:rPr>
        <w:t>50</w:t>
      </w:r>
      <w:r w:rsidRPr="00B358AE">
        <w:rPr>
          <w:rFonts w:eastAsia="Arial Unicode MS"/>
          <w:sz w:val="24"/>
        </w:rPr>
        <w:t>% non ha subito variazioni</w:t>
      </w:r>
      <w:r>
        <w:rPr>
          <w:rFonts w:eastAsia="Arial Unicode MS"/>
          <w:sz w:val="24"/>
        </w:rPr>
        <w:t xml:space="preserve"> e</w:t>
      </w:r>
      <w:r w:rsidRPr="00B358AE">
        <w:rPr>
          <w:rFonts w:eastAsia="Arial Unicode MS"/>
          <w:sz w:val="24"/>
        </w:rPr>
        <w:t xml:space="preserve"> </w:t>
      </w:r>
      <w:r>
        <w:rPr>
          <w:rFonts w:eastAsia="Arial Unicode MS"/>
          <w:sz w:val="24"/>
        </w:rPr>
        <w:t>il 29</w:t>
      </w:r>
      <w:r w:rsidRPr="00B358AE">
        <w:rPr>
          <w:rFonts w:eastAsia="Arial Unicode MS"/>
          <w:sz w:val="24"/>
        </w:rPr>
        <w:t>%</w:t>
      </w:r>
      <w:r>
        <w:rPr>
          <w:rFonts w:eastAsia="Arial Unicode MS"/>
          <w:sz w:val="24"/>
        </w:rPr>
        <w:t xml:space="preserve"> una diminuzione</w:t>
      </w:r>
      <w:r w:rsidRPr="00B358AE">
        <w:rPr>
          <w:rFonts w:eastAsia="Arial Unicode MS"/>
          <w:sz w:val="24"/>
        </w:rPr>
        <w:t>. Questi valori sono in linea con quelli ris</w:t>
      </w:r>
      <w:r>
        <w:rPr>
          <w:rFonts w:eastAsia="Arial Unicode MS"/>
          <w:sz w:val="24"/>
        </w:rPr>
        <w:t>contrati in Emilia-Romagna (17% in aumento, 52</w:t>
      </w:r>
      <w:r w:rsidRPr="00B358AE">
        <w:rPr>
          <w:rFonts w:eastAsia="Arial Unicode MS"/>
          <w:sz w:val="24"/>
        </w:rPr>
        <w:t>% stabilità, 3</w:t>
      </w:r>
      <w:r>
        <w:rPr>
          <w:rFonts w:eastAsia="Arial Unicode MS"/>
          <w:sz w:val="24"/>
        </w:rPr>
        <w:t>1</w:t>
      </w:r>
      <w:r w:rsidRPr="00B358AE">
        <w:rPr>
          <w:rFonts w:eastAsia="Arial Unicode MS"/>
          <w:sz w:val="24"/>
        </w:rPr>
        <w:t>% in diminuzione), ma si discostano da quelli dell’Italia ad eccezione dell</w:t>
      </w:r>
      <w:r>
        <w:rPr>
          <w:rFonts w:eastAsia="Arial Unicode MS"/>
          <w:sz w:val="24"/>
        </w:rPr>
        <w:t>a percentuale</w:t>
      </w:r>
      <w:r w:rsidRPr="00B358AE">
        <w:rPr>
          <w:rFonts w:eastAsia="Arial Unicode MS"/>
          <w:sz w:val="24"/>
        </w:rPr>
        <w:t xml:space="preserve"> in aumento (2</w:t>
      </w:r>
      <w:r>
        <w:rPr>
          <w:rFonts w:eastAsia="Arial Unicode MS"/>
          <w:sz w:val="24"/>
        </w:rPr>
        <w:t>1</w:t>
      </w:r>
      <w:r w:rsidRPr="00B358AE">
        <w:rPr>
          <w:rFonts w:eastAsia="Arial Unicode MS"/>
          <w:sz w:val="24"/>
        </w:rPr>
        <w:t>% in aume</w:t>
      </w:r>
      <w:r>
        <w:rPr>
          <w:rFonts w:eastAsia="Arial Unicode MS"/>
          <w:sz w:val="24"/>
        </w:rPr>
        <w:t>nto, 38% stabilità e 41</w:t>
      </w:r>
      <w:r w:rsidRPr="00B358AE">
        <w:rPr>
          <w:rFonts w:eastAsia="Arial Unicode MS"/>
          <w:sz w:val="24"/>
        </w:rPr>
        <w:t>% in diminuzione).</w:t>
      </w:r>
    </w:p>
    <w:p w:rsidR="000F4E4D" w:rsidRPr="00212766" w:rsidRDefault="000F4E4D" w:rsidP="00F81B1C">
      <w:pPr>
        <w:autoSpaceDE w:val="0"/>
        <w:autoSpaceDN w:val="0"/>
        <w:adjustRightInd w:val="0"/>
        <w:spacing w:line="312" w:lineRule="auto"/>
        <w:ind w:firstLine="284"/>
        <w:rPr>
          <w:rFonts w:eastAsia="Arial Unicode MS"/>
          <w:sz w:val="22"/>
          <w:szCs w:val="22"/>
          <w:highlight w:val="yellow"/>
        </w:rPr>
      </w:pPr>
    </w:p>
    <w:p w:rsidR="000F4E4D" w:rsidRPr="00B358AE" w:rsidRDefault="000F4E4D" w:rsidP="00F81B1C">
      <w:pPr>
        <w:autoSpaceDE w:val="0"/>
        <w:autoSpaceDN w:val="0"/>
        <w:adjustRightInd w:val="0"/>
        <w:spacing w:line="312" w:lineRule="auto"/>
        <w:ind w:firstLine="284"/>
        <w:rPr>
          <w:rFonts w:eastAsia="Arial Unicode MS"/>
          <w:sz w:val="24"/>
        </w:rPr>
      </w:pPr>
      <w:r w:rsidRPr="00B358AE">
        <w:rPr>
          <w:rFonts w:eastAsia="Arial Unicode MS"/>
          <w:sz w:val="24"/>
        </w:rPr>
        <w:t>Riguardo all’artigianato la situazione appare più critica: la variazione percentuale annua della produzione si attesta infatti a -3,5%. Valori negativi, sebbene più contenuti, si riscontrano anche a livello regionale (-3,3%) e nazionale (-2,4%).</w:t>
      </w:r>
    </w:p>
    <w:p w:rsidR="000F4E4D" w:rsidRPr="00212766" w:rsidRDefault="000F4E4D" w:rsidP="00212766">
      <w:pPr>
        <w:autoSpaceDE w:val="0"/>
        <w:autoSpaceDN w:val="0"/>
        <w:adjustRightInd w:val="0"/>
        <w:spacing w:line="312" w:lineRule="auto"/>
        <w:ind w:firstLine="284"/>
        <w:rPr>
          <w:rFonts w:eastAsia="Arial Unicode MS"/>
          <w:sz w:val="22"/>
          <w:szCs w:val="22"/>
          <w:highlight w:val="yellow"/>
        </w:rPr>
      </w:pPr>
    </w:p>
    <w:p w:rsidR="000F4E4D" w:rsidRPr="00F81B1C" w:rsidRDefault="000F4E4D" w:rsidP="00F81B1C">
      <w:pPr>
        <w:autoSpaceDE w:val="0"/>
        <w:autoSpaceDN w:val="0"/>
        <w:adjustRightInd w:val="0"/>
        <w:spacing w:line="312" w:lineRule="auto"/>
        <w:ind w:firstLine="284"/>
        <w:rPr>
          <w:rFonts w:eastAsia="Arial Unicode MS"/>
          <w:sz w:val="24"/>
        </w:rPr>
      </w:pPr>
      <w:r w:rsidRPr="00B358AE">
        <w:rPr>
          <w:rFonts w:eastAsia="Arial Unicode MS"/>
          <w:sz w:val="24"/>
        </w:rPr>
        <w:t>Rispett</w:t>
      </w:r>
      <w:r>
        <w:rPr>
          <w:rFonts w:eastAsia="Arial Unicode MS"/>
          <w:sz w:val="24"/>
        </w:rPr>
        <w:t>o al trimestre precedente quasi</w:t>
      </w:r>
      <w:r w:rsidRPr="00B358AE">
        <w:rPr>
          <w:rFonts w:eastAsia="Arial Unicode MS"/>
          <w:sz w:val="24"/>
        </w:rPr>
        <w:t xml:space="preserve"> </w:t>
      </w:r>
      <w:r>
        <w:rPr>
          <w:rFonts w:eastAsia="Arial Unicode MS"/>
          <w:sz w:val="24"/>
        </w:rPr>
        <w:t xml:space="preserve">l’11% </w:t>
      </w:r>
      <w:r w:rsidRPr="00B358AE">
        <w:rPr>
          <w:rFonts w:eastAsia="Arial Unicode MS"/>
          <w:sz w:val="24"/>
        </w:rPr>
        <w:t xml:space="preserve">delle imprese artigiane dichiara di aver avuto un aumento della produzione, </w:t>
      </w:r>
      <w:r>
        <w:rPr>
          <w:rFonts w:eastAsia="Arial Unicode MS"/>
          <w:sz w:val="24"/>
        </w:rPr>
        <w:t>il 56</w:t>
      </w:r>
      <w:r w:rsidRPr="00B358AE">
        <w:rPr>
          <w:rFonts w:eastAsia="Arial Unicode MS"/>
          <w:sz w:val="24"/>
        </w:rPr>
        <w:t xml:space="preserve">% stabilità </w:t>
      </w:r>
      <w:r>
        <w:rPr>
          <w:rFonts w:eastAsia="Arial Unicode MS"/>
          <w:sz w:val="24"/>
        </w:rPr>
        <w:t>e il 33% una diminuzione</w:t>
      </w:r>
      <w:r w:rsidRPr="00B358AE">
        <w:rPr>
          <w:rFonts w:eastAsia="Arial Unicode MS"/>
          <w:sz w:val="24"/>
        </w:rPr>
        <w:t>. Confrontando questi valori con quelli regionali e nazionali si riscontrano evidenti</w:t>
      </w:r>
      <w:r>
        <w:rPr>
          <w:rFonts w:eastAsia="Arial Unicode MS"/>
          <w:sz w:val="24"/>
        </w:rPr>
        <w:t xml:space="preserve"> differenze: Emilia-Romagna 16% in aumento, 48% stabilità e 36% in diminuzione; Italia 20% in aumento, 38% stabilità e 42</w:t>
      </w:r>
      <w:r w:rsidRPr="00B358AE">
        <w:rPr>
          <w:rFonts w:eastAsia="Arial Unicode MS"/>
          <w:sz w:val="24"/>
        </w:rPr>
        <w:t>% in diminuzione.</w:t>
      </w:r>
    </w:p>
    <w:p w:rsidR="000F4E4D" w:rsidRPr="00163510" w:rsidRDefault="000F4E4D" w:rsidP="00212766">
      <w:pPr>
        <w:autoSpaceDE w:val="0"/>
        <w:autoSpaceDN w:val="0"/>
        <w:adjustRightInd w:val="0"/>
        <w:spacing w:line="312" w:lineRule="auto"/>
        <w:ind w:firstLine="284"/>
        <w:rPr>
          <w:rFonts w:eastAsia="Arial Unicode MS"/>
          <w:sz w:val="24"/>
          <w:highlight w:val="yellow"/>
        </w:rPr>
      </w:pPr>
    </w:p>
    <w:p w:rsidR="000F4E4D" w:rsidRDefault="000F4E4D" w:rsidP="00F81B1C">
      <w:pPr>
        <w:spacing w:line="312" w:lineRule="auto"/>
        <w:ind w:firstLine="284"/>
        <w:rPr>
          <w:rStyle w:val="titoloscenarioer28pt"/>
          <w:b/>
          <w:sz w:val="24"/>
        </w:rPr>
      </w:pPr>
      <w:r w:rsidRPr="001B7ABB">
        <w:rPr>
          <w:rStyle w:val="titoloscenarioer28pt"/>
          <w:b/>
          <w:sz w:val="24"/>
        </w:rPr>
        <w:t>- FATTURATO</w:t>
      </w:r>
    </w:p>
    <w:p w:rsidR="000F4E4D" w:rsidRPr="00163510" w:rsidRDefault="000F4E4D" w:rsidP="00F81B1C">
      <w:pPr>
        <w:spacing w:line="312" w:lineRule="auto"/>
        <w:ind w:firstLine="284"/>
        <w:rPr>
          <w:rStyle w:val="titoloscenarioer28pt"/>
          <w:rFonts w:ascii="Arial" w:hAnsi="Arial" w:cs="Arial"/>
          <w:b/>
          <w:sz w:val="24"/>
        </w:rPr>
      </w:pPr>
    </w:p>
    <w:p w:rsidR="0038259F" w:rsidRDefault="000F4E4D" w:rsidP="0038259F">
      <w:pPr>
        <w:jc w:val="center"/>
        <w:rPr>
          <w:b/>
          <w:sz w:val="22"/>
          <w:szCs w:val="22"/>
        </w:rPr>
      </w:pPr>
      <w:r w:rsidRPr="00FD3D6C">
        <w:rPr>
          <w:b/>
          <w:sz w:val="22"/>
          <w:szCs w:val="22"/>
        </w:rPr>
        <w:t>Imprese Totali</w:t>
      </w:r>
    </w:p>
    <w:p w:rsidR="000F4E4D" w:rsidRDefault="000F4E4D" w:rsidP="0038259F">
      <w:pPr>
        <w:spacing w:before="120"/>
        <w:jc w:val="center"/>
        <w:rPr>
          <w:i/>
          <w:sz w:val="18"/>
          <w:szCs w:val="18"/>
        </w:rPr>
      </w:pPr>
      <w:r>
        <w:rPr>
          <w:i/>
          <w:sz w:val="18"/>
          <w:szCs w:val="18"/>
        </w:rPr>
        <w:t>TAV. 4</w:t>
      </w:r>
    </w:p>
    <w:p w:rsidR="0038259F" w:rsidRDefault="00C379E0" w:rsidP="0038259F">
      <w:pPr>
        <w:jc w:val="center"/>
        <w:rPr>
          <w:i/>
          <w:sz w:val="18"/>
          <w:szCs w:val="18"/>
        </w:rPr>
      </w:pPr>
      <w:r>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21590</wp:posOffset>
            </wp:positionV>
            <wp:extent cx="3429000" cy="2089785"/>
            <wp:effectExtent l="0" t="0" r="0" b="0"/>
            <wp:wrapNone/>
            <wp:docPr id="32"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
                    <pic:cNvPicPr>
                      <a:picLocks noChangeAspect="1" noChangeArrowheads="1"/>
                    </pic:cNvPicPr>
                  </pic:nvPicPr>
                  <pic:blipFill>
                    <a:blip r:embed="rId22"/>
                    <a:srcRect/>
                    <a:stretch>
                      <a:fillRect/>
                    </a:stretch>
                  </pic:blipFill>
                  <pic:spPr bwMode="auto">
                    <a:xfrm>
                      <a:off x="0" y="0"/>
                      <a:ext cx="3429000" cy="2089785"/>
                    </a:xfrm>
                    <a:prstGeom prst="rect">
                      <a:avLst/>
                    </a:prstGeom>
                    <a:noFill/>
                  </pic:spPr>
                </pic:pic>
              </a:graphicData>
            </a:graphic>
          </wp:anchor>
        </w:drawing>
      </w:r>
    </w:p>
    <w:p w:rsidR="0038259F" w:rsidRPr="0038259F" w:rsidRDefault="0038259F" w:rsidP="0038259F">
      <w:pPr>
        <w:jc w:val="center"/>
        <w:rPr>
          <w:b/>
          <w:sz w:val="22"/>
          <w:szCs w:val="22"/>
        </w:rPr>
      </w:pPr>
    </w:p>
    <w:p w:rsidR="0038259F" w:rsidRDefault="0038259F" w:rsidP="0038259F">
      <w:pPr>
        <w:spacing w:before="120"/>
        <w:ind w:left="709" w:hanging="709"/>
        <w:jc w:val="center"/>
        <w:rPr>
          <w:i/>
          <w:sz w:val="18"/>
          <w:szCs w:val="18"/>
        </w:rPr>
      </w:pPr>
    </w:p>
    <w:p w:rsidR="0038259F" w:rsidRDefault="0038259F" w:rsidP="0038259F">
      <w:pPr>
        <w:spacing w:before="120"/>
        <w:jc w:val="center"/>
        <w:rPr>
          <w:i/>
          <w:sz w:val="18"/>
          <w:szCs w:val="18"/>
        </w:rPr>
      </w:pPr>
    </w:p>
    <w:p w:rsidR="0038259F" w:rsidRDefault="0038259F" w:rsidP="0038259F">
      <w:pPr>
        <w:spacing w:before="120"/>
        <w:jc w:val="center"/>
      </w:pPr>
    </w:p>
    <w:p w:rsidR="000F4E4D" w:rsidRPr="00C60DFB" w:rsidRDefault="000F4E4D" w:rsidP="00971FB0">
      <w:pPr>
        <w:ind w:left="708" w:hanging="708"/>
        <w:jc w:val="center"/>
      </w:pPr>
    </w:p>
    <w:p w:rsidR="000F4E4D" w:rsidRDefault="000F4E4D" w:rsidP="00971FB0">
      <w:pPr>
        <w:ind w:left="708" w:hanging="708"/>
        <w:jc w:val="center"/>
        <w:rPr>
          <w:sz w:val="22"/>
          <w:szCs w:val="22"/>
        </w:rPr>
      </w:pPr>
    </w:p>
    <w:p w:rsidR="000F4E4D" w:rsidRDefault="000F4E4D" w:rsidP="00971FB0">
      <w:pPr>
        <w:ind w:left="708" w:hanging="708"/>
        <w:jc w:val="center"/>
        <w:rPr>
          <w:sz w:val="22"/>
          <w:szCs w:val="22"/>
        </w:rPr>
      </w:pPr>
    </w:p>
    <w:p w:rsidR="000F4E4D" w:rsidRDefault="000F4E4D" w:rsidP="00971FB0">
      <w:pPr>
        <w:ind w:left="708" w:hanging="708"/>
        <w:jc w:val="center"/>
        <w:rPr>
          <w:sz w:val="22"/>
          <w:szCs w:val="22"/>
        </w:rPr>
      </w:pPr>
    </w:p>
    <w:p w:rsidR="000F4E4D" w:rsidRDefault="000F4E4D" w:rsidP="00971FB0">
      <w:pPr>
        <w:ind w:left="708" w:hanging="708"/>
        <w:jc w:val="center"/>
        <w:rPr>
          <w:sz w:val="22"/>
          <w:szCs w:val="22"/>
        </w:rPr>
      </w:pPr>
    </w:p>
    <w:p w:rsidR="000F4E4D" w:rsidRDefault="000F4E4D" w:rsidP="00971FB0">
      <w:pPr>
        <w:ind w:left="708" w:hanging="708"/>
        <w:jc w:val="center"/>
        <w:rPr>
          <w:sz w:val="22"/>
          <w:szCs w:val="22"/>
        </w:rPr>
      </w:pPr>
    </w:p>
    <w:p w:rsidR="000F4E4D" w:rsidRDefault="000F4E4D" w:rsidP="00971FB0">
      <w:pPr>
        <w:ind w:left="708" w:hanging="708"/>
        <w:jc w:val="center"/>
        <w:rPr>
          <w:sz w:val="22"/>
          <w:szCs w:val="22"/>
        </w:rPr>
      </w:pPr>
    </w:p>
    <w:p w:rsidR="000F4E4D" w:rsidRDefault="000F4E4D" w:rsidP="00971FB0">
      <w:pPr>
        <w:ind w:left="708" w:hanging="708"/>
        <w:jc w:val="center"/>
        <w:rPr>
          <w:sz w:val="22"/>
          <w:szCs w:val="22"/>
        </w:rPr>
      </w:pPr>
    </w:p>
    <w:p w:rsidR="0038259F" w:rsidRDefault="0038259F" w:rsidP="00212766">
      <w:pPr>
        <w:autoSpaceDE w:val="0"/>
        <w:autoSpaceDN w:val="0"/>
        <w:adjustRightInd w:val="0"/>
        <w:spacing w:line="312" w:lineRule="auto"/>
        <w:ind w:firstLine="284"/>
        <w:rPr>
          <w:rFonts w:eastAsia="Arial Unicode MS"/>
          <w:sz w:val="24"/>
        </w:rPr>
      </w:pPr>
    </w:p>
    <w:p w:rsidR="000F4E4D" w:rsidRDefault="000F4E4D" w:rsidP="00212766">
      <w:pPr>
        <w:autoSpaceDE w:val="0"/>
        <w:autoSpaceDN w:val="0"/>
        <w:adjustRightInd w:val="0"/>
        <w:spacing w:line="312" w:lineRule="auto"/>
        <w:ind w:firstLine="284"/>
        <w:rPr>
          <w:rFonts w:eastAsia="Arial Unicode MS"/>
          <w:sz w:val="24"/>
        </w:rPr>
      </w:pPr>
      <w:r w:rsidRPr="00CF7BAA">
        <w:rPr>
          <w:rFonts w:eastAsia="Arial Unicode MS"/>
          <w:sz w:val="24"/>
        </w:rPr>
        <w:t>Analizzando la serie storica trimestrale</w:t>
      </w:r>
      <w:r>
        <w:rPr>
          <w:rFonts w:eastAsia="Arial Unicode MS"/>
          <w:sz w:val="24"/>
        </w:rPr>
        <w:t>,</w:t>
      </w:r>
      <w:r w:rsidRPr="00CF7BAA">
        <w:rPr>
          <w:rFonts w:eastAsia="Arial Unicode MS"/>
          <w:sz w:val="24"/>
        </w:rPr>
        <w:t xml:space="preserve"> </w:t>
      </w:r>
      <w:r>
        <w:rPr>
          <w:rFonts w:eastAsia="Arial Unicode MS"/>
          <w:sz w:val="24"/>
        </w:rPr>
        <w:t>n</w:t>
      </w:r>
      <w:r w:rsidRPr="00CF7BAA">
        <w:rPr>
          <w:rFonts w:eastAsia="Arial Unicode MS"/>
          <w:sz w:val="24"/>
        </w:rPr>
        <w:t xml:space="preserve">egli ultimi due anni si osserva come l’unica variazione positiva del fatturato si sia verificata </w:t>
      </w:r>
      <w:r>
        <w:rPr>
          <w:rFonts w:eastAsia="Arial Unicode MS"/>
          <w:sz w:val="24"/>
        </w:rPr>
        <w:t xml:space="preserve">un anno e mezzo prima, </w:t>
      </w:r>
      <w:r w:rsidRPr="00CF7BAA">
        <w:rPr>
          <w:rFonts w:eastAsia="Arial Unicode MS"/>
          <w:sz w:val="24"/>
        </w:rPr>
        <w:t>nel 2° trimestre 2013 (+0,3%)</w:t>
      </w:r>
      <w:r>
        <w:rPr>
          <w:rFonts w:eastAsia="Arial Unicode MS"/>
          <w:sz w:val="24"/>
        </w:rPr>
        <w:t>,</w:t>
      </w:r>
      <w:r w:rsidRPr="00CF7BAA">
        <w:rPr>
          <w:rFonts w:eastAsia="Arial Unicode MS"/>
          <w:sz w:val="24"/>
        </w:rPr>
        <w:t xml:space="preserve"> e che l’andamento</w:t>
      </w:r>
      <w:r>
        <w:rPr>
          <w:rFonts w:eastAsia="Arial Unicode MS"/>
          <w:sz w:val="24"/>
        </w:rPr>
        <w:t xml:space="preserve"> dell’anno in corso sia in co</w:t>
      </w:r>
      <w:r w:rsidRPr="00CF7BAA">
        <w:rPr>
          <w:rFonts w:eastAsia="Arial Unicode MS"/>
          <w:sz w:val="24"/>
        </w:rPr>
        <w:t>stante diminuzione, anche se con valori più ridotti rispetto a quelli dei periodi precedenti.</w:t>
      </w:r>
    </w:p>
    <w:p w:rsidR="000F4E4D" w:rsidRPr="00F81B1C" w:rsidRDefault="0038259F" w:rsidP="00FF0E13">
      <w:pPr>
        <w:autoSpaceDE w:val="0"/>
        <w:autoSpaceDN w:val="0"/>
        <w:adjustRightInd w:val="0"/>
        <w:spacing w:line="312" w:lineRule="auto"/>
        <w:ind w:firstLine="284"/>
        <w:rPr>
          <w:rFonts w:eastAsia="Arial Unicode MS"/>
          <w:sz w:val="24"/>
        </w:rPr>
      </w:pPr>
      <w:r>
        <w:rPr>
          <w:rFonts w:eastAsia="Arial Unicode MS"/>
          <w:sz w:val="24"/>
        </w:rPr>
        <w:br w:type="page"/>
      </w:r>
      <w:r w:rsidR="000F4E4D" w:rsidRPr="009726D9">
        <w:rPr>
          <w:rFonts w:eastAsia="Arial Unicode MS"/>
          <w:sz w:val="24"/>
        </w:rPr>
        <w:lastRenderedPageBreak/>
        <w:t xml:space="preserve">Rispetto al 3° trimestre 2013 il fatturato registra una diminuzione del 2,2%, superiore a quella riscontrata in Emilia-Romagna (-0,9%) e in Italia (-0,5%); la causa </w:t>
      </w:r>
      <w:r w:rsidR="000F4E4D">
        <w:rPr>
          <w:rFonts w:eastAsia="Arial Unicode MS"/>
          <w:sz w:val="24"/>
        </w:rPr>
        <w:t>del</w:t>
      </w:r>
      <w:r w:rsidR="000F4E4D" w:rsidRPr="009726D9">
        <w:rPr>
          <w:rFonts w:eastAsia="Arial Unicode MS"/>
          <w:sz w:val="24"/>
        </w:rPr>
        <w:t xml:space="preserve"> decremento è imputabile al calo della domanda interna, alla quale si contrappone un aumento di quella estera. </w:t>
      </w:r>
      <w:r w:rsidR="000F4E4D">
        <w:rPr>
          <w:rFonts w:eastAsia="Arial Unicode MS"/>
          <w:sz w:val="24"/>
        </w:rPr>
        <w:t>Il</w:t>
      </w:r>
      <w:r w:rsidR="000F4E4D" w:rsidRPr="009726D9">
        <w:rPr>
          <w:rFonts w:eastAsia="Arial Unicode MS"/>
          <w:sz w:val="24"/>
        </w:rPr>
        <w:t xml:space="preserve"> fatturato estero in provincia cresce </w:t>
      </w:r>
      <w:r w:rsidR="000F4E4D">
        <w:rPr>
          <w:rFonts w:eastAsia="Arial Unicode MS"/>
          <w:sz w:val="24"/>
        </w:rPr>
        <w:t xml:space="preserve">infatti </w:t>
      </w:r>
      <w:r w:rsidR="000F4E4D" w:rsidRPr="009726D9">
        <w:rPr>
          <w:rFonts w:eastAsia="Arial Unicode MS"/>
          <w:sz w:val="24"/>
        </w:rPr>
        <w:t xml:space="preserve">dello 0,5% rispetto al </w:t>
      </w:r>
      <w:r w:rsidR="000F4E4D">
        <w:rPr>
          <w:rFonts w:eastAsia="Arial Unicode MS"/>
          <w:sz w:val="24"/>
        </w:rPr>
        <w:t>3° trimestre</w:t>
      </w:r>
      <w:r w:rsidR="000F4E4D" w:rsidRPr="009726D9">
        <w:rPr>
          <w:rFonts w:eastAsia="Arial Unicode MS"/>
          <w:sz w:val="24"/>
        </w:rPr>
        <w:t xml:space="preserve"> 2013, anche se a ritmo inferiore rispetto a quello regionale (+2,7%) e nazionale (+3,4%).</w:t>
      </w:r>
    </w:p>
    <w:p w:rsidR="000F4E4D" w:rsidRPr="00BA7247" w:rsidRDefault="000F4E4D" w:rsidP="00FF0E13">
      <w:pPr>
        <w:autoSpaceDE w:val="0"/>
        <w:autoSpaceDN w:val="0"/>
        <w:adjustRightInd w:val="0"/>
        <w:spacing w:line="312" w:lineRule="auto"/>
        <w:ind w:firstLine="284"/>
        <w:rPr>
          <w:rFonts w:eastAsia="Arial Unicode MS"/>
          <w:sz w:val="24"/>
          <w:highlight w:val="yellow"/>
        </w:rPr>
      </w:pPr>
    </w:p>
    <w:p w:rsidR="000F4E4D" w:rsidRPr="007F2DC5" w:rsidRDefault="000F4E4D" w:rsidP="00FF0E13">
      <w:pPr>
        <w:autoSpaceDE w:val="0"/>
        <w:autoSpaceDN w:val="0"/>
        <w:adjustRightInd w:val="0"/>
        <w:spacing w:line="312" w:lineRule="auto"/>
        <w:ind w:firstLine="284"/>
        <w:rPr>
          <w:rFonts w:eastAsia="Arial Unicode MS"/>
          <w:sz w:val="24"/>
        </w:rPr>
      </w:pPr>
      <w:r w:rsidRPr="007F2DC5">
        <w:rPr>
          <w:rFonts w:eastAsia="Arial Unicode MS"/>
          <w:sz w:val="24"/>
        </w:rPr>
        <w:t>Con riferimen</w:t>
      </w:r>
      <w:r>
        <w:rPr>
          <w:rFonts w:eastAsia="Arial Unicode MS"/>
          <w:sz w:val="24"/>
        </w:rPr>
        <w:t>to al 2° trimestre 2014, quasi il 23</w:t>
      </w:r>
      <w:r w:rsidRPr="007F2DC5">
        <w:rPr>
          <w:rFonts w:eastAsia="Arial Unicode MS"/>
          <w:sz w:val="24"/>
        </w:rPr>
        <w:t xml:space="preserve">% delle imprese ha riscontrato un aumento del fatturato, </w:t>
      </w:r>
      <w:r>
        <w:rPr>
          <w:rFonts w:eastAsia="Arial Unicode MS"/>
          <w:sz w:val="24"/>
        </w:rPr>
        <w:t>il 40</w:t>
      </w:r>
      <w:r w:rsidRPr="007F2DC5">
        <w:rPr>
          <w:rFonts w:eastAsia="Arial Unicode MS"/>
          <w:sz w:val="24"/>
        </w:rPr>
        <w:t>% non ha subito variazioni</w:t>
      </w:r>
      <w:r>
        <w:rPr>
          <w:rFonts w:eastAsia="Arial Unicode MS"/>
          <w:sz w:val="24"/>
        </w:rPr>
        <w:t xml:space="preserve"> e</w:t>
      </w:r>
      <w:r w:rsidRPr="007F2DC5">
        <w:rPr>
          <w:rFonts w:eastAsia="Arial Unicode MS"/>
          <w:sz w:val="24"/>
        </w:rPr>
        <w:t xml:space="preserve"> </w:t>
      </w:r>
      <w:r>
        <w:rPr>
          <w:rFonts w:eastAsia="Arial Unicode MS"/>
          <w:sz w:val="24"/>
        </w:rPr>
        <w:t>il 37</w:t>
      </w:r>
      <w:r w:rsidRPr="007F2DC5">
        <w:rPr>
          <w:rFonts w:eastAsia="Arial Unicode MS"/>
          <w:sz w:val="24"/>
        </w:rPr>
        <w:t>% un</w:t>
      </w:r>
      <w:r>
        <w:rPr>
          <w:rFonts w:eastAsia="Arial Unicode MS"/>
          <w:sz w:val="24"/>
        </w:rPr>
        <w:t>a diminuzione</w:t>
      </w:r>
      <w:r w:rsidRPr="007F2DC5">
        <w:rPr>
          <w:rFonts w:eastAsia="Arial Unicode MS"/>
          <w:sz w:val="24"/>
        </w:rPr>
        <w:t>. In Emilia-Romagna tali valori si attestano a</w:t>
      </w:r>
      <w:r>
        <w:rPr>
          <w:rFonts w:eastAsia="Arial Unicode MS"/>
          <w:sz w:val="24"/>
        </w:rPr>
        <w:t>l 18% in aumento, 49% stabilità, 33</w:t>
      </w:r>
      <w:r w:rsidRPr="007F2DC5">
        <w:rPr>
          <w:rFonts w:eastAsia="Arial Unicode MS"/>
          <w:sz w:val="24"/>
        </w:rPr>
        <w:t xml:space="preserve">% in diminuzione, mentre in Italia si attestano a </w:t>
      </w:r>
      <w:r>
        <w:rPr>
          <w:rFonts w:eastAsia="Arial Unicode MS"/>
          <w:sz w:val="24"/>
        </w:rPr>
        <w:t>23% in aumento, 36% stabilità e 41%</w:t>
      </w:r>
      <w:r w:rsidRPr="007F2DC5">
        <w:rPr>
          <w:rFonts w:eastAsia="Arial Unicode MS"/>
          <w:sz w:val="24"/>
        </w:rPr>
        <w:t xml:space="preserve"> diminuzione.</w:t>
      </w:r>
    </w:p>
    <w:p w:rsidR="000F4E4D" w:rsidRPr="00FF0E13" w:rsidRDefault="000F4E4D" w:rsidP="00212766">
      <w:pPr>
        <w:autoSpaceDE w:val="0"/>
        <w:autoSpaceDN w:val="0"/>
        <w:adjustRightInd w:val="0"/>
        <w:spacing w:line="312" w:lineRule="auto"/>
        <w:ind w:firstLine="284"/>
        <w:rPr>
          <w:rFonts w:eastAsia="Arial Unicode MS"/>
          <w:sz w:val="22"/>
          <w:szCs w:val="22"/>
        </w:rPr>
      </w:pPr>
    </w:p>
    <w:p w:rsidR="000F4E4D" w:rsidRPr="002B78C6" w:rsidRDefault="000F4E4D" w:rsidP="0038259F">
      <w:pPr>
        <w:jc w:val="center"/>
        <w:rPr>
          <w:b/>
          <w:sz w:val="22"/>
          <w:szCs w:val="22"/>
        </w:rPr>
      </w:pPr>
      <w:r w:rsidRPr="00FD3D6C">
        <w:rPr>
          <w:b/>
          <w:sz w:val="22"/>
          <w:szCs w:val="22"/>
        </w:rPr>
        <w:t>Imprese Artigiane</w:t>
      </w:r>
    </w:p>
    <w:p w:rsidR="000F4E4D" w:rsidRDefault="000F4E4D" w:rsidP="00541787">
      <w:pPr>
        <w:autoSpaceDE w:val="0"/>
        <w:autoSpaceDN w:val="0"/>
        <w:adjustRightInd w:val="0"/>
        <w:spacing w:before="120"/>
        <w:jc w:val="center"/>
      </w:pPr>
      <w:r>
        <w:rPr>
          <w:i/>
          <w:sz w:val="18"/>
          <w:szCs w:val="18"/>
        </w:rPr>
        <w:t>TAV. 5</w:t>
      </w:r>
    </w:p>
    <w:p w:rsidR="000F4E4D" w:rsidRDefault="00C379E0" w:rsidP="00971FB0">
      <w:pPr>
        <w:autoSpaceDE w:val="0"/>
        <w:autoSpaceDN w:val="0"/>
        <w:adjustRightInd w:val="0"/>
        <w:spacing w:line="312" w:lineRule="auto"/>
        <w:jc w:val="cente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3569970" cy="2258060"/>
            <wp:effectExtent l="0" t="0" r="0" b="0"/>
            <wp:wrapNone/>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srcRect/>
                    <a:stretch>
                      <a:fillRect/>
                    </a:stretch>
                  </pic:blipFill>
                  <pic:spPr bwMode="auto">
                    <a:xfrm>
                      <a:off x="0" y="0"/>
                      <a:ext cx="3569970" cy="2258060"/>
                    </a:xfrm>
                    <a:prstGeom prst="rect">
                      <a:avLst/>
                    </a:prstGeom>
                    <a:noFill/>
                  </pic:spPr>
                </pic:pic>
              </a:graphicData>
            </a:graphic>
          </wp:anchor>
        </w:drawing>
      </w:r>
    </w:p>
    <w:p w:rsidR="000F4E4D" w:rsidRDefault="000F4E4D" w:rsidP="00971FB0">
      <w:pPr>
        <w:autoSpaceDE w:val="0"/>
        <w:autoSpaceDN w:val="0"/>
        <w:adjustRightInd w:val="0"/>
        <w:spacing w:line="312" w:lineRule="auto"/>
        <w:jc w:val="center"/>
      </w:pPr>
    </w:p>
    <w:p w:rsidR="000F4E4D" w:rsidRPr="00212766" w:rsidRDefault="000F4E4D" w:rsidP="00971FB0">
      <w:pPr>
        <w:autoSpaceDE w:val="0"/>
        <w:autoSpaceDN w:val="0"/>
        <w:adjustRightInd w:val="0"/>
        <w:spacing w:line="312" w:lineRule="auto"/>
        <w:jc w:val="center"/>
        <w:rPr>
          <w:sz w:val="4"/>
          <w:szCs w:val="4"/>
        </w:rPr>
      </w:pPr>
    </w:p>
    <w:p w:rsidR="0038259F" w:rsidRDefault="0038259F" w:rsidP="00FF0E13">
      <w:pPr>
        <w:autoSpaceDE w:val="0"/>
        <w:autoSpaceDN w:val="0"/>
        <w:adjustRightInd w:val="0"/>
        <w:spacing w:line="312" w:lineRule="auto"/>
        <w:ind w:firstLine="284"/>
        <w:rPr>
          <w:rFonts w:eastAsia="Arial Unicode MS"/>
          <w:sz w:val="24"/>
        </w:rPr>
      </w:pPr>
    </w:p>
    <w:p w:rsidR="0038259F" w:rsidRDefault="0038259F" w:rsidP="00FF0E13">
      <w:pPr>
        <w:autoSpaceDE w:val="0"/>
        <w:autoSpaceDN w:val="0"/>
        <w:adjustRightInd w:val="0"/>
        <w:spacing w:line="312" w:lineRule="auto"/>
        <w:ind w:firstLine="284"/>
        <w:rPr>
          <w:rFonts w:eastAsia="Arial Unicode MS"/>
          <w:sz w:val="24"/>
        </w:rPr>
      </w:pPr>
    </w:p>
    <w:p w:rsidR="0038259F" w:rsidRDefault="0038259F" w:rsidP="00FF0E13">
      <w:pPr>
        <w:autoSpaceDE w:val="0"/>
        <w:autoSpaceDN w:val="0"/>
        <w:adjustRightInd w:val="0"/>
        <w:spacing w:line="312" w:lineRule="auto"/>
        <w:ind w:firstLine="284"/>
        <w:rPr>
          <w:rFonts w:eastAsia="Arial Unicode MS"/>
          <w:sz w:val="24"/>
        </w:rPr>
      </w:pPr>
    </w:p>
    <w:p w:rsidR="0038259F" w:rsidRDefault="0038259F" w:rsidP="00FF0E13">
      <w:pPr>
        <w:autoSpaceDE w:val="0"/>
        <w:autoSpaceDN w:val="0"/>
        <w:adjustRightInd w:val="0"/>
        <w:spacing w:line="312" w:lineRule="auto"/>
        <w:ind w:firstLine="284"/>
        <w:rPr>
          <w:rFonts w:eastAsia="Arial Unicode MS"/>
          <w:sz w:val="24"/>
        </w:rPr>
      </w:pPr>
    </w:p>
    <w:p w:rsidR="0038259F" w:rsidRDefault="0038259F" w:rsidP="00FF0E13">
      <w:pPr>
        <w:autoSpaceDE w:val="0"/>
        <w:autoSpaceDN w:val="0"/>
        <w:adjustRightInd w:val="0"/>
        <w:spacing w:line="312" w:lineRule="auto"/>
        <w:ind w:firstLine="284"/>
        <w:rPr>
          <w:rFonts w:eastAsia="Arial Unicode MS"/>
          <w:sz w:val="24"/>
        </w:rPr>
      </w:pPr>
    </w:p>
    <w:p w:rsidR="0038259F" w:rsidRDefault="0038259F" w:rsidP="00FF0E13">
      <w:pPr>
        <w:autoSpaceDE w:val="0"/>
        <w:autoSpaceDN w:val="0"/>
        <w:adjustRightInd w:val="0"/>
        <w:spacing w:line="312" w:lineRule="auto"/>
        <w:ind w:firstLine="284"/>
        <w:rPr>
          <w:rFonts w:eastAsia="Arial Unicode MS"/>
          <w:sz w:val="24"/>
        </w:rPr>
      </w:pPr>
    </w:p>
    <w:p w:rsidR="0038259F" w:rsidRDefault="0038259F" w:rsidP="00FF0E13">
      <w:pPr>
        <w:autoSpaceDE w:val="0"/>
        <w:autoSpaceDN w:val="0"/>
        <w:adjustRightInd w:val="0"/>
        <w:spacing w:line="312" w:lineRule="auto"/>
        <w:ind w:firstLine="284"/>
        <w:rPr>
          <w:rFonts w:eastAsia="Arial Unicode MS"/>
          <w:sz w:val="24"/>
        </w:rPr>
      </w:pPr>
    </w:p>
    <w:p w:rsidR="0038259F" w:rsidRDefault="0038259F" w:rsidP="00FF0E13">
      <w:pPr>
        <w:autoSpaceDE w:val="0"/>
        <w:autoSpaceDN w:val="0"/>
        <w:adjustRightInd w:val="0"/>
        <w:spacing w:line="312" w:lineRule="auto"/>
        <w:ind w:firstLine="284"/>
        <w:rPr>
          <w:rFonts w:eastAsia="Arial Unicode MS"/>
          <w:sz w:val="24"/>
        </w:rPr>
      </w:pPr>
    </w:p>
    <w:p w:rsidR="0038259F" w:rsidRDefault="0038259F" w:rsidP="00FF0E13">
      <w:pPr>
        <w:autoSpaceDE w:val="0"/>
        <w:autoSpaceDN w:val="0"/>
        <w:adjustRightInd w:val="0"/>
        <w:spacing w:line="312" w:lineRule="auto"/>
        <w:ind w:firstLine="284"/>
        <w:rPr>
          <w:rFonts w:eastAsia="Arial Unicode MS"/>
          <w:sz w:val="24"/>
        </w:rPr>
      </w:pPr>
    </w:p>
    <w:p w:rsidR="000F4E4D" w:rsidRPr="00EA198E" w:rsidRDefault="000F4E4D" w:rsidP="00FF0E13">
      <w:pPr>
        <w:autoSpaceDE w:val="0"/>
        <w:autoSpaceDN w:val="0"/>
        <w:adjustRightInd w:val="0"/>
        <w:spacing w:line="312" w:lineRule="auto"/>
        <w:ind w:firstLine="284"/>
        <w:rPr>
          <w:rFonts w:eastAsia="Arial Unicode MS"/>
          <w:sz w:val="24"/>
        </w:rPr>
      </w:pPr>
      <w:r w:rsidRPr="00EA198E">
        <w:rPr>
          <w:rFonts w:eastAsia="Arial Unicode MS"/>
          <w:sz w:val="24"/>
        </w:rPr>
        <w:t xml:space="preserve">Anche </w:t>
      </w:r>
      <w:r>
        <w:rPr>
          <w:rFonts w:eastAsia="Arial Unicode MS"/>
          <w:sz w:val="24"/>
        </w:rPr>
        <w:t>per il fatturato</w:t>
      </w:r>
      <w:r w:rsidRPr="00EA198E">
        <w:rPr>
          <w:rFonts w:eastAsia="Arial Unicode MS"/>
          <w:sz w:val="24"/>
        </w:rPr>
        <w:t xml:space="preserve"> la situazione risulta più difficile per le imprese artigiane</w:t>
      </w:r>
      <w:r>
        <w:rPr>
          <w:rFonts w:eastAsia="Arial Unicode MS"/>
          <w:sz w:val="24"/>
        </w:rPr>
        <w:t xml:space="preserve"> riminesi</w:t>
      </w:r>
      <w:r w:rsidRPr="00EA198E">
        <w:rPr>
          <w:rFonts w:eastAsia="Arial Unicode MS"/>
          <w:sz w:val="24"/>
        </w:rPr>
        <w:t>: la variazione percentuale annua del fatturato risulta infatti del -2,8%. Tale andamento negativo è più marcato a livello regionale (-3,2%) e più contenuto a livello nazionale</w:t>
      </w:r>
      <w:r w:rsidRPr="00EA198E">
        <w:rPr>
          <w:rFonts w:eastAsia="Arial Unicode MS"/>
          <w:sz w:val="24"/>
        </w:rPr>
        <w:br/>
        <w:t>(-2,4%).</w:t>
      </w:r>
    </w:p>
    <w:p w:rsidR="000F4E4D" w:rsidRDefault="000F4E4D" w:rsidP="00FF0E13">
      <w:pPr>
        <w:rPr>
          <w:b/>
          <w:sz w:val="22"/>
          <w:szCs w:val="22"/>
          <w:bdr w:val="single" w:sz="4" w:space="0" w:color="auto"/>
        </w:rPr>
      </w:pPr>
    </w:p>
    <w:p w:rsidR="0038259F" w:rsidRDefault="000F4E4D" w:rsidP="00FF0E13">
      <w:pPr>
        <w:autoSpaceDE w:val="0"/>
        <w:autoSpaceDN w:val="0"/>
        <w:adjustRightInd w:val="0"/>
        <w:spacing w:line="312" w:lineRule="auto"/>
        <w:ind w:firstLine="284"/>
        <w:rPr>
          <w:rFonts w:eastAsia="Arial Unicode MS"/>
          <w:sz w:val="24"/>
        </w:rPr>
      </w:pPr>
      <w:r w:rsidRPr="00275816">
        <w:rPr>
          <w:rFonts w:eastAsia="Arial Unicode MS"/>
          <w:sz w:val="24"/>
        </w:rPr>
        <w:t>Rispetto al trimestre precedente i</w:t>
      </w:r>
      <w:r>
        <w:rPr>
          <w:rFonts w:eastAsia="Arial Unicode MS"/>
          <w:sz w:val="24"/>
        </w:rPr>
        <w:t>l 10% circa</w:t>
      </w:r>
      <w:r w:rsidRPr="00275816">
        <w:rPr>
          <w:rFonts w:eastAsia="Arial Unicode MS"/>
          <w:sz w:val="24"/>
        </w:rPr>
        <w:t xml:space="preserve"> delle imprese artigiane dichiara un aumento del fatturato, </w:t>
      </w:r>
      <w:r>
        <w:rPr>
          <w:rFonts w:eastAsia="Arial Unicode MS"/>
          <w:sz w:val="24"/>
        </w:rPr>
        <w:t>il 59</w:t>
      </w:r>
      <w:r w:rsidRPr="00275816">
        <w:rPr>
          <w:rFonts w:eastAsia="Arial Unicode MS"/>
          <w:sz w:val="24"/>
        </w:rPr>
        <w:t xml:space="preserve">% stabilità </w:t>
      </w:r>
      <w:r>
        <w:rPr>
          <w:rFonts w:eastAsia="Arial Unicode MS"/>
          <w:sz w:val="24"/>
        </w:rPr>
        <w:t>e il 31% una diminuzione</w:t>
      </w:r>
      <w:r w:rsidRPr="00275816">
        <w:rPr>
          <w:rFonts w:eastAsia="Arial Unicode MS"/>
          <w:sz w:val="24"/>
        </w:rPr>
        <w:t>. Confrontando questi valori con quelli regionali e nazionali si riscontrano evident</w:t>
      </w:r>
      <w:r>
        <w:rPr>
          <w:rFonts w:eastAsia="Arial Unicode MS"/>
          <w:sz w:val="24"/>
        </w:rPr>
        <w:t>i differenze: Emilia-Romagna 15% in aumento, 50</w:t>
      </w:r>
      <w:r w:rsidRPr="00275816">
        <w:rPr>
          <w:rFonts w:eastAsia="Arial Unicode MS"/>
          <w:sz w:val="24"/>
        </w:rPr>
        <w:t>% stabili</w:t>
      </w:r>
      <w:r>
        <w:rPr>
          <w:rFonts w:eastAsia="Arial Unicode MS"/>
          <w:sz w:val="24"/>
        </w:rPr>
        <w:t>tà, 35% in diminuzione; Italia 20% in aumento, 43% stabilità e 37</w:t>
      </w:r>
      <w:r w:rsidRPr="00275816">
        <w:rPr>
          <w:rFonts w:eastAsia="Arial Unicode MS"/>
          <w:sz w:val="24"/>
        </w:rPr>
        <w:t>% in diminuzione.</w:t>
      </w:r>
    </w:p>
    <w:p w:rsidR="000F4E4D" w:rsidRDefault="0038259F" w:rsidP="0038259F">
      <w:pPr>
        <w:autoSpaceDE w:val="0"/>
        <w:autoSpaceDN w:val="0"/>
        <w:adjustRightInd w:val="0"/>
        <w:jc w:val="center"/>
        <w:rPr>
          <w:i/>
          <w:sz w:val="18"/>
          <w:szCs w:val="18"/>
        </w:rPr>
      </w:pPr>
      <w:r>
        <w:rPr>
          <w:rFonts w:eastAsia="Arial Unicode MS"/>
          <w:sz w:val="24"/>
        </w:rPr>
        <w:br w:type="page"/>
      </w:r>
      <w:r w:rsidR="000F4E4D" w:rsidRPr="00FD3D6C">
        <w:rPr>
          <w:b/>
          <w:sz w:val="22"/>
          <w:szCs w:val="22"/>
        </w:rPr>
        <w:lastRenderedPageBreak/>
        <w:t>Imprese Totali</w:t>
      </w:r>
    </w:p>
    <w:p w:rsidR="000F4E4D" w:rsidRPr="00111485" w:rsidRDefault="000F4E4D" w:rsidP="00541787">
      <w:pPr>
        <w:spacing w:before="120"/>
        <w:jc w:val="center"/>
        <w:rPr>
          <w:rFonts w:eastAsia="Arial Unicode MS"/>
          <w:sz w:val="22"/>
          <w:szCs w:val="22"/>
        </w:rPr>
      </w:pPr>
      <w:r>
        <w:rPr>
          <w:i/>
          <w:sz w:val="18"/>
          <w:szCs w:val="18"/>
        </w:rPr>
        <w:t>TAV. 6</w:t>
      </w:r>
    </w:p>
    <w:p w:rsidR="000F4E4D" w:rsidRPr="001B2501" w:rsidRDefault="00C379E0" w:rsidP="00971FB0">
      <w:pPr>
        <w:autoSpaceDE w:val="0"/>
        <w:autoSpaceDN w:val="0"/>
        <w:adjustRightInd w:val="0"/>
        <w:spacing w:line="312" w:lineRule="auto"/>
        <w:jc w:val="center"/>
        <w:rPr>
          <w:rFonts w:eastAsia="Arial Unicode MS"/>
          <w:sz w:val="22"/>
          <w:szCs w:val="22"/>
        </w:rPr>
      </w:pPr>
      <w:r>
        <w:rPr>
          <w:noProof/>
        </w:rPr>
        <w:drawing>
          <wp:inline distT="0" distB="0" distL="0" distR="0">
            <wp:extent cx="3590925" cy="2171700"/>
            <wp:effectExtent l="0" t="0" r="0" b="0"/>
            <wp:docPr id="15"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24"/>
                    <a:srcRect/>
                    <a:stretch>
                      <a:fillRect/>
                    </a:stretch>
                  </pic:blipFill>
                  <pic:spPr bwMode="auto">
                    <a:xfrm>
                      <a:off x="0" y="0"/>
                      <a:ext cx="3590925" cy="2171700"/>
                    </a:xfrm>
                    <a:prstGeom prst="rect">
                      <a:avLst/>
                    </a:prstGeom>
                    <a:noFill/>
                    <a:ln w="9525">
                      <a:noFill/>
                      <a:miter lim="800000"/>
                      <a:headEnd/>
                      <a:tailEnd/>
                    </a:ln>
                  </pic:spPr>
                </pic:pic>
              </a:graphicData>
            </a:graphic>
          </wp:inline>
        </w:drawing>
      </w:r>
    </w:p>
    <w:p w:rsidR="000F4E4D" w:rsidRPr="00163510" w:rsidRDefault="000F4E4D" w:rsidP="00F81B1C">
      <w:pPr>
        <w:autoSpaceDE w:val="0"/>
        <w:autoSpaceDN w:val="0"/>
        <w:adjustRightInd w:val="0"/>
        <w:spacing w:line="312" w:lineRule="auto"/>
        <w:ind w:firstLine="284"/>
        <w:rPr>
          <w:rFonts w:eastAsia="Arial Unicode MS"/>
          <w:sz w:val="24"/>
        </w:rPr>
      </w:pPr>
    </w:p>
    <w:p w:rsidR="000F4E4D" w:rsidRDefault="000F4E4D" w:rsidP="0038259F">
      <w:pPr>
        <w:jc w:val="center"/>
        <w:rPr>
          <w:i/>
          <w:sz w:val="18"/>
          <w:szCs w:val="18"/>
        </w:rPr>
      </w:pPr>
      <w:r w:rsidRPr="00FD3D6C">
        <w:rPr>
          <w:b/>
          <w:sz w:val="22"/>
          <w:szCs w:val="22"/>
        </w:rPr>
        <w:t>Imprese Artigiane</w:t>
      </w:r>
      <w:r>
        <w:rPr>
          <w:b/>
          <w:sz w:val="22"/>
          <w:szCs w:val="22"/>
          <w:bdr w:val="single" w:sz="4" w:space="0" w:color="auto"/>
        </w:rPr>
        <w:t xml:space="preserve"> </w:t>
      </w:r>
    </w:p>
    <w:p w:rsidR="000F4E4D" w:rsidRPr="00111485" w:rsidRDefault="000F4E4D" w:rsidP="00541787">
      <w:pPr>
        <w:spacing w:before="120"/>
        <w:jc w:val="center"/>
        <w:rPr>
          <w:rFonts w:eastAsia="Arial Unicode MS"/>
          <w:sz w:val="22"/>
          <w:szCs w:val="22"/>
        </w:rPr>
      </w:pPr>
      <w:r>
        <w:rPr>
          <w:i/>
          <w:sz w:val="18"/>
          <w:szCs w:val="18"/>
        </w:rPr>
        <w:t>TAV. 7</w:t>
      </w:r>
    </w:p>
    <w:p w:rsidR="000F4E4D" w:rsidRPr="001B2501" w:rsidRDefault="00C379E0" w:rsidP="00971FB0">
      <w:pPr>
        <w:autoSpaceDE w:val="0"/>
        <w:autoSpaceDN w:val="0"/>
        <w:adjustRightInd w:val="0"/>
        <w:spacing w:line="312" w:lineRule="auto"/>
        <w:jc w:val="center"/>
        <w:rPr>
          <w:rFonts w:eastAsia="Arial Unicode MS"/>
          <w:sz w:val="22"/>
          <w:szCs w:val="22"/>
        </w:rPr>
      </w:pPr>
      <w:r>
        <w:rPr>
          <w:noProof/>
        </w:rPr>
        <w:drawing>
          <wp:inline distT="0" distB="0" distL="0" distR="0">
            <wp:extent cx="3581400" cy="2295525"/>
            <wp:effectExtent l="0" t="0" r="0" b="0"/>
            <wp:docPr id="16"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25"/>
                    <a:srcRect/>
                    <a:stretch>
                      <a:fillRect/>
                    </a:stretch>
                  </pic:blipFill>
                  <pic:spPr bwMode="auto">
                    <a:xfrm>
                      <a:off x="0" y="0"/>
                      <a:ext cx="3581400" cy="2295525"/>
                    </a:xfrm>
                    <a:prstGeom prst="rect">
                      <a:avLst/>
                    </a:prstGeom>
                    <a:noFill/>
                    <a:ln w="9525">
                      <a:noFill/>
                      <a:miter lim="800000"/>
                      <a:headEnd/>
                      <a:tailEnd/>
                    </a:ln>
                  </pic:spPr>
                </pic:pic>
              </a:graphicData>
            </a:graphic>
          </wp:inline>
        </w:drawing>
      </w:r>
    </w:p>
    <w:p w:rsidR="000F4E4D" w:rsidRDefault="000F4E4D" w:rsidP="00F81B1C">
      <w:pPr>
        <w:autoSpaceDE w:val="0"/>
        <w:autoSpaceDN w:val="0"/>
        <w:adjustRightInd w:val="0"/>
        <w:spacing w:line="312" w:lineRule="auto"/>
        <w:ind w:firstLine="284"/>
        <w:rPr>
          <w:rFonts w:eastAsia="Arial Unicode MS"/>
          <w:sz w:val="24"/>
        </w:rPr>
      </w:pPr>
    </w:p>
    <w:p w:rsidR="000F4E4D" w:rsidRDefault="000F4E4D" w:rsidP="00F81B1C">
      <w:pPr>
        <w:autoSpaceDE w:val="0"/>
        <w:autoSpaceDN w:val="0"/>
        <w:adjustRightInd w:val="0"/>
        <w:spacing w:line="312" w:lineRule="auto"/>
        <w:ind w:firstLine="284"/>
        <w:rPr>
          <w:rFonts w:eastAsia="Arial Unicode MS"/>
          <w:sz w:val="24"/>
        </w:rPr>
      </w:pPr>
      <w:r>
        <w:rPr>
          <w:rFonts w:eastAsia="Arial Unicode MS"/>
          <w:sz w:val="24"/>
        </w:rPr>
        <w:t>Analizzando gli andamenti degli ultimi 9 trimestri, il fatturato estero riminese presenta un picco nell’ultimo periodo del 2013, in particolare per le imprese artigiane.</w:t>
      </w:r>
    </w:p>
    <w:p w:rsidR="000F4E4D" w:rsidRDefault="000F4E4D" w:rsidP="00F81B1C">
      <w:pPr>
        <w:autoSpaceDE w:val="0"/>
        <w:autoSpaceDN w:val="0"/>
        <w:adjustRightInd w:val="0"/>
        <w:spacing w:line="312" w:lineRule="auto"/>
        <w:ind w:firstLine="284"/>
        <w:rPr>
          <w:rFonts w:eastAsia="Arial Unicode MS"/>
          <w:sz w:val="24"/>
        </w:rPr>
      </w:pPr>
      <w:r>
        <w:rPr>
          <w:rFonts w:eastAsia="Arial Unicode MS"/>
          <w:sz w:val="24"/>
        </w:rPr>
        <w:t>Nel terzo trimestre 2014 tiene il fatturato estero delle imprese e per la prima volta dopo un anno e mezzo, cala nuovamente quello delle imprese artigiane.</w:t>
      </w:r>
    </w:p>
    <w:p w:rsidR="000F4E4D" w:rsidRPr="00F81B1C" w:rsidRDefault="000F4E4D" w:rsidP="00F81B1C">
      <w:pPr>
        <w:autoSpaceDE w:val="0"/>
        <w:autoSpaceDN w:val="0"/>
        <w:adjustRightInd w:val="0"/>
        <w:spacing w:line="312" w:lineRule="auto"/>
        <w:ind w:firstLine="284"/>
        <w:rPr>
          <w:rFonts w:eastAsia="Arial Unicode MS"/>
          <w:sz w:val="24"/>
        </w:rPr>
      </w:pPr>
    </w:p>
    <w:p w:rsidR="000F4E4D" w:rsidRPr="00FB469E" w:rsidRDefault="000F4E4D" w:rsidP="00F81B1C">
      <w:pPr>
        <w:spacing w:line="312" w:lineRule="auto"/>
        <w:ind w:firstLine="284"/>
        <w:rPr>
          <w:rStyle w:val="titoloscenarioer28pt"/>
          <w:b/>
          <w:sz w:val="24"/>
        </w:rPr>
      </w:pPr>
      <w:r w:rsidRPr="00FB469E">
        <w:rPr>
          <w:rStyle w:val="titoloscenarioer28pt"/>
          <w:b/>
          <w:sz w:val="24"/>
        </w:rPr>
        <w:t>- ORDINI</w:t>
      </w:r>
    </w:p>
    <w:p w:rsidR="000F4E4D" w:rsidRDefault="000F4E4D" w:rsidP="00706678">
      <w:pPr>
        <w:spacing w:line="312" w:lineRule="auto"/>
        <w:ind w:firstLine="284"/>
        <w:rPr>
          <w:sz w:val="22"/>
          <w:szCs w:val="22"/>
        </w:rPr>
      </w:pPr>
    </w:p>
    <w:p w:rsidR="000F4E4D" w:rsidRPr="00F81B1C" w:rsidRDefault="000F4E4D" w:rsidP="00FF0E13">
      <w:pPr>
        <w:spacing w:line="312" w:lineRule="auto"/>
        <w:ind w:firstLine="284"/>
        <w:rPr>
          <w:rFonts w:eastAsia="Arial Unicode MS"/>
          <w:sz w:val="24"/>
        </w:rPr>
      </w:pPr>
      <w:r w:rsidRPr="00661661">
        <w:rPr>
          <w:rFonts w:eastAsia="Arial Unicode MS"/>
          <w:sz w:val="24"/>
        </w:rPr>
        <w:t xml:space="preserve">Gli ordini mostrano una diminuzione del 2,2% rispetto allo stesso trimestre dell’anno precedente; come per il fatturato, il dato provinciale è peggiore di quelli negativi riscontrati in Emilia-Romagna (-1,3%) e in Italia (-0,8%). In questo caso, il decremento </w:t>
      </w:r>
      <w:r>
        <w:rPr>
          <w:rFonts w:eastAsia="Arial Unicode MS"/>
          <w:sz w:val="24"/>
        </w:rPr>
        <w:t xml:space="preserve">riminese </w:t>
      </w:r>
      <w:r w:rsidRPr="00661661">
        <w:rPr>
          <w:rFonts w:eastAsia="Arial Unicode MS"/>
          <w:sz w:val="24"/>
        </w:rPr>
        <w:t>è imputabile sia al calo della domanda interna che a quello della domanda estera. Infatti gli ordini esteri in provincia calano dell’</w:t>
      </w:r>
      <w:r>
        <w:rPr>
          <w:rFonts w:eastAsia="Arial Unicode MS"/>
          <w:sz w:val="24"/>
        </w:rPr>
        <w:t>1,7% rispetto al periodo luglio–</w:t>
      </w:r>
      <w:r w:rsidRPr="00661661">
        <w:rPr>
          <w:rFonts w:eastAsia="Arial Unicode MS"/>
          <w:sz w:val="24"/>
        </w:rPr>
        <w:t>settembre 2013, contrariamente a ciò che avviene a livello regionale (+1,6%) e nazionale (+2,6%).</w:t>
      </w:r>
    </w:p>
    <w:p w:rsidR="000F4E4D" w:rsidRDefault="00163510" w:rsidP="0038259F">
      <w:pPr>
        <w:jc w:val="center"/>
        <w:rPr>
          <w:b/>
          <w:sz w:val="22"/>
          <w:szCs w:val="22"/>
          <w:bdr w:val="single" w:sz="4" w:space="0" w:color="auto"/>
        </w:rPr>
      </w:pPr>
      <w:r>
        <w:rPr>
          <w:b/>
          <w:sz w:val="22"/>
          <w:szCs w:val="22"/>
        </w:rPr>
        <w:br w:type="page"/>
      </w:r>
      <w:r w:rsidR="000F4E4D" w:rsidRPr="00FD3D6C">
        <w:rPr>
          <w:b/>
          <w:sz w:val="22"/>
          <w:szCs w:val="22"/>
        </w:rPr>
        <w:lastRenderedPageBreak/>
        <w:t>Imprese Totali</w:t>
      </w:r>
    </w:p>
    <w:p w:rsidR="000F4E4D" w:rsidRDefault="000F4E4D" w:rsidP="00541787">
      <w:pPr>
        <w:spacing w:before="120"/>
        <w:jc w:val="center"/>
        <w:rPr>
          <w:sz w:val="22"/>
          <w:szCs w:val="22"/>
        </w:rPr>
      </w:pPr>
      <w:r>
        <w:rPr>
          <w:i/>
          <w:sz w:val="18"/>
          <w:szCs w:val="18"/>
        </w:rPr>
        <w:t>TAV. 8</w:t>
      </w:r>
    </w:p>
    <w:p w:rsidR="000F4E4D" w:rsidRPr="006865E4" w:rsidRDefault="00C379E0" w:rsidP="000745C1">
      <w:pPr>
        <w:spacing w:line="312" w:lineRule="auto"/>
        <w:ind w:firstLine="284"/>
        <w:jc w:val="center"/>
        <w:rPr>
          <w:sz w:val="22"/>
          <w:szCs w:val="22"/>
        </w:rPr>
      </w:pPr>
      <w:r>
        <w:rPr>
          <w:noProof/>
        </w:rPr>
        <w:drawing>
          <wp:inline distT="0" distB="0" distL="0" distR="0">
            <wp:extent cx="3571875" cy="2171700"/>
            <wp:effectExtent l="0" t="0" r="0" b="0"/>
            <wp:docPr id="17"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26"/>
                    <a:srcRect/>
                    <a:stretch>
                      <a:fillRect/>
                    </a:stretch>
                  </pic:blipFill>
                  <pic:spPr bwMode="auto">
                    <a:xfrm>
                      <a:off x="0" y="0"/>
                      <a:ext cx="3571875" cy="2171700"/>
                    </a:xfrm>
                    <a:prstGeom prst="rect">
                      <a:avLst/>
                    </a:prstGeom>
                    <a:noFill/>
                    <a:ln w="9525">
                      <a:noFill/>
                      <a:miter lim="800000"/>
                      <a:headEnd/>
                      <a:tailEnd/>
                    </a:ln>
                  </pic:spPr>
                </pic:pic>
              </a:graphicData>
            </a:graphic>
          </wp:inline>
        </w:drawing>
      </w:r>
    </w:p>
    <w:p w:rsidR="000F4E4D" w:rsidRPr="00163510" w:rsidRDefault="000F4E4D" w:rsidP="00FF0E13">
      <w:pPr>
        <w:spacing w:line="312" w:lineRule="auto"/>
        <w:rPr>
          <w:sz w:val="24"/>
        </w:rPr>
      </w:pPr>
    </w:p>
    <w:p w:rsidR="000F4E4D" w:rsidRPr="002B78C6" w:rsidRDefault="000F4E4D" w:rsidP="0038259F">
      <w:pPr>
        <w:jc w:val="center"/>
        <w:rPr>
          <w:b/>
          <w:sz w:val="22"/>
          <w:szCs w:val="22"/>
        </w:rPr>
      </w:pPr>
      <w:r w:rsidRPr="00FD3D6C">
        <w:rPr>
          <w:b/>
          <w:sz w:val="22"/>
          <w:szCs w:val="22"/>
        </w:rPr>
        <w:t>Imprese Artigiane</w:t>
      </w:r>
    </w:p>
    <w:p w:rsidR="000F4E4D" w:rsidRPr="00111485" w:rsidRDefault="000F4E4D" w:rsidP="00541787">
      <w:pPr>
        <w:autoSpaceDE w:val="0"/>
        <w:autoSpaceDN w:val="0"/>
        <w:adjustRightInd w:val="0"/>
        <w:spacing w:before="120"/>
        <w:jc w:val="center"/>
        <w:rPr>
          <w:rFonts w:eastAsia="Arial Unicode MS"/>
          <w:sz w:val="22"/>
          <w:szCs w:val="22"/>
        </w:rPr>
      </w:pPr>
      <w:r>
        <w:rPr>
          <w:i/>
          <w:sz w:val="18"/>
          <w:szCs w:val="18"/>
        </w:rPr>
        <w:t>TAV. 9</w:t>
      </w:r>
    </w:p>
    <w:p w:rsidR="000F4E4D" w:rsidRPr="006865E4" w:rsidRDefault="00C379E0" w:rsidP="000745C1">
      <w:pPr>
        <w:spacing w:line="312" w:lineRule="auto"/>
        <w:ind w:firstLine="284"/>
        <w:jc w:val="center"/>
        <w:rPr>
          <w:sz w:val="22"/>
          <w:szCs w:val="22"/>
        </w:rPr>
      </w:pPr>
      <w:r>
        <w:rPr>
          <w:noProof/>
        </w:rPr>
        <w:drawing>
          <wp:inline distT="0" distB="0" distL="0" distR="0">
            <wp:extent cx="3571875" cy="2314575"/>
            <wp:effectExtent l="0" t="0" r="0" b="0"/>
            <wp:docPr id="14"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27"/>
                    <a:srcRect/>
                    <a:stretch>
                      <a:fillRect/>
                    </a:stretch>
                  </pic:blipFill>
                  <pic:spPr bwMode="auto">
                    <a:xfrm>
                      <a:off x="0" y="0"/>
                      <a:ext cx="3571875" cy="2314575"/>
                    </a:xfrm>
                    <a:prstGeom prst="rect">
                      <a:avLst/>
                    </a:prstGeom>
                    <a:noFill/>
                    <a:ln w="9525">
                      <a:noFill/>
                      <a:miter lim="800000"/>
                      <a:headEnd/>
                      <a:tailEnd/>
                    </a:ln>
                  </pic:spPr>
                </pic:pic>
              </a:graphicData>
            </a:graphic>
          </wp:inline>
        </w:drawing>
      </w:r>
    </w:p>
    <w:p w:rsidR="000F4E4D" w:rsidRDefault="000F4E4D" w:rsidP="00706678">
      <w:pPr>
        <w:spacing w:line="312" w:lineRule="auto"/>
        <w:ind w:firstLine="284"/>
        <w:rPr>
          <w:rFonts w:eastAsia="Arial Unicode MS"/>
          <w:sz w:val="24"/>
        </w:rPr>
      </w:pPr>
    </w:p>
    <w:p w:rsidR="000F4E4D" w:rsidRPr="00661661" w:rsidRDefault="000F4E4D" w:rsidP="0021533F">
      <w:pPr>
        <w:spacing w:line="312" w:lineRule="auto"/>
        <w:ind w:firstLine="284"/>
        <w:rPr>
          <w:rFonts w:eastAsia="Arial Unicode MS"/>
          <w:sz w:val="24"/>
        </w:rPr>
      </w:pPr>
      <w:r w:rsidRPr="00661661">
        <w:rPr>
          <w:rFonts w:eastAsia="Arial Unicode MS"/>
          <w:sz w:val="24"/>
        </w:rPr>
        <w:t>Analizzando la serie storica trimestrale degli ultimi due anni si osserva come l’unica variazione positiva degli ordini si sia verificata nel 2° trimestre 2013 (+0,5%).</w:t>
      </w:r>
    </w:p>
    <w:p w:rsidR="000F4E4D" w:rsidRPr="00BA7247" w:rsidRDefault="000F4E4D" w:rsidP="0021533F">
      <w:pPr>
        <w:spacing w:line="312" w:lineRule="auto"/>
        <w:ind w:firstLine="284"/>
        <w:rPr>
          <w:rFonts w:eastAsia="Arial Unicode MS"/>
          <w:sz w:val="24"/>
          <w:highlight w:val="yellow"/>
        </w:rPr>
      </w:pPr>
    </w:p>
    <w:p w:rsidR="000F4E4D" w:rsidRDefault="000F4E4D" w:rsidP="0021533F">
      <w:pPr>
        <w:autoSpaceDE w:val="0"/>
        <w:autoSpaceDN w:val="0"/>
        <w:adjustRightInd w:val="0"/>
        <w:spacing w:line="312" w:lineRule="auto"/>
        <w:ind w:firstLine="284"/>
        <w:rPr>
          <w:rFonts w:eastAsia="Arial Unicode MS"/>
          <w:sz w:val="24"/>
        </w:rPr>
      </w:pPr>
      <w:r w:rsidRPr="00F05D05">
        <w:rPr>
          <w:rFonts w:eastAsia="Arial Unicode MS"/>
          <w:sz w:val="24"/>
        </w:rPr>
        <w:t>Rispe</w:t>
      </w:r>
      <w:r>
        <w:rPr>
          <w:rFonts w:eastAsia="Arial Unicode MS"/>
          <w:sz w:val="24"/>
        </w:rPr>
        <w:t>tto al 2° trimestre 2014 il 23</w:t>
      </w:r>
      <w:r w:rsidRPr="00F05D05">
        <w:rPr>
          <w:rFonts w:eastAsia="Arial Unicode MS"/>
          <w:sz w:val="24"/>
        </w:rPr>
        <w:t xml:space="preserve">% </w:t>
      </w:r>
      <w:r>
        <w:rPr>
          <w:rFonts w:eastAsia="Arial Unicode MS"/>
          <w:sz w:val="24"/>
        </w:rPr>
        <w:t xml:space="preserve">circa </w:t>
      </w:r>
      <w:r w:rsidRPr="00F05D05">
        <w:rPr>
          <w:rFonts w:eastAsia="Arial Unicode MS"/>
          <w:sz w:val="24"/>
        </w:rPr>
        <w:t xml:space="preserve">delle imprese ha riscontrato un aumento degli ordini, </w:t>
      </w:r>
      <w:r>
        <w:rPr>
          <w:rFonts w:eastAsia="Arial Unicode MS"/>
          <w:sz w:val="24"/>
        </w:rPr>
        <w:t xml:space="preserve">il 43% </w:t>
      </w:r>
      <w:r w:rsidRPr="00F05D05">
        <w:rPr>
          <w:rFonts w:eastAsia="Arial Unicode MS"/>
          <w:sz w:val="24"/>
        </w:rPr>
        <w:t xml:space="preserve">non ha subito variazioni </w:t>
      </w:r>
      <w:r>
        <w:rPr>
          <w:rFonts w:eastAsia="Arial Unicode MS"/>
          <w:sz w:val="24"/>
        </w:rPr>
        <w:t xml:space="preserve">e </w:t>
      </w:r>
      <w:r w:rsidRPr="00F05D05">
        <w:rPr>
          <w:rFonts w:eastAsia="Arial Unicode MS"/>
          <w:sz w:val="24"/>
        </w:rPr>
        <w:t xml:space="preserve">il 34,0% </w:t>
      </w:r>
      <w:r>
        <w:rPr>
          <w:rFonts w:eastAsia="Arial Unicode MS"/>
          <w:sz w:val="24"/>
        </w:rPr>
        <w:t xml:space="preserve">ha avuto </w:t>
      </w:r>
      <w:r w:rsidRPr="00F05D05">
        <w:rPr>
          <w:rFonts w:eastAsia="Arial Unicode MS"/>
          <w:sz w:val="24"/>
        </w:rPr>
        <w:t>una diminuzione</w:t>
      </w:r>
      <w:r>
        <w:rPr>
          <w:rFonts w:eastAsia="Arial Unicode MS"/>
          <w:sz w:val="24"/>
        </w:rPr>
        <w:t>. Con riferimento all’andamento in aumento i valori provinciali sono in linea col dato nazionale del 23% (stabilità: 38%, diminuzione: 39%), mentre per ciò che concerne l’andamento in diminuzione tali valori sono simili al dato regionale del 31% (stabilità: 50%, aumento 19%).</w:t>
      </w:r>
    </w:p>
    <w:p w:rsidR="000F4E4D" w:rsidRPr="00BA7247" w:rsidRDefault="000F4E4D" w:rsidP="0021533F">
      <w:pPr>
        <w:autoSpaceDE w:val="0"/>
        <w:autoSpaceDN w:val="0"/>
        <w:adjustRightInd w:val="0"/>
        <w:spacing w:line="312" w:lineRule="auto"/>
        <w:ind w:firstLine="284"/>
        <w:rPr>
          <w:rFonts w:eastAsia="Arial Unicode MS"/>
          <w:sz w:val="24"/>
          <w:highlight w:val="yellow"/>
        </w:rPr>
      </w:pPr>
    </w:p>
    <w:p w:rsidR="000F4E4D" w:rsidRPr="007D4F13" w:rsidRDefault="000F4E4D" w:rsidP="0021533F">
      <w:pPr>
        <w:spacing w:line="312" w:lineRule="auto"/>
        <w:ind w:firstLine="284"/>
        <w:rPr>
          <w:rFonts w:eastAsia="Arial Unicode MS"/>
          <w:sz w:val="24"/>
        </w:rPr>
      </w:pPr>
      <w:r w:rsidRPr="007D4F13">
        <w:rPr>
          <w:rFonts w:eastAsia="Arial Unicode MS"/>
          <w:sz w:val="24"/>
        </w:rPr>
        <w:t>Anche con riferimento a</w:t>
      </w:r>
      <w:r>
        <w:rPr>
          <w:rFonts w:eastAsia="Arial Unicode MS"/>
          <w:sz w:val="24"/>
        </w:rPr>
        <w:t>lla</w:t>
      </w:r>
      <w:r w:rsidRPr="007D4F13">
        <w:rPr>
          <w:rFonts w:eastAsia="Arial Unicode MS"/>
          <w:sz w:val="24"/>
        </w:rPr>
        <w:t xml:space="preserve"> variabile</w:t>
      </w:r>
      <w:r>
        <w:rPr>
          <w:rFonts w:eastAsia="Arial Unicode MS"/>
          <w:sz w:val="24"/>
        </w:rPr>
        <w:t xml:space="preserve"> degli ordini,</w:t>
      </w:r>
      <w:r w:rsidRPr="007D4F13">
        <w:rPr>
          <w:rFonts w:eastAsia="Arial Unicode MS"/>
          <w:sz w:val="24"/>
        </w:rPr>
        <w:t xml:space="preserve"> la condizione delle imprese artigiane è piuttosto negativa, attestandosi al -3,1%; tale decremento è analogo a quello regionale (-3,1%) e superiore a quello nazionale (-2,5%).</w:t>
      </w:r>
    </w:p>
    <w:p w:rsidR="000F4E4D" w:rsidRDefault="00163510" w:rsidP="00163510">
      <w:pPr>
        <w:jc w:val="center"/>
        <w:rPr>
          <w:b/>
          <w:sz w:val="22"/>
          <w:szCs w:val="22"/>
          <w:bdr w:val="single" w:sz="4" w:space="0" w:color="auto"/>
        </w:rPr>
      </w:pPr>
      <w:r>
        <w:rPr>
          <w:rFonts w:eastAsia="Arial Unicode MS"/>
          <w:sz w:val="24"/>
        </w:rPr>
        <w:br w:type="page"/>
      </w:r>
      <w:r w:rsidR="000F4E4D" w:rsidRPr="00FD3D6C">
        <w:rPr>
          <w:b/>
          <w:sz w:val="22"/>
          <w:szCs w:val="22"/>
        </w:rPr>
        <w:lastRenderedPageBreak/>
        <w:t>Imprese Totali</w:t>
      </w:r>
    </w:p>
    <w:p w:rsidR="000F4E4D" w:rsidRDefault="000F4E4D" w:rsidP="00541787">
      <w:pPr>
        <w:spacing w:before="120"/>
        <w:jc w:val="center"/>
        <w:rPr>
          <w:sz w:val="22"/>
          <w:szCs w:val="22"/>
        </w:rPr>
      </w:pPr>
      <w:r>
        <w:rPr>
          <w:i/>
          <w:sz w:val="18"/>
          <w:szCs w:val="18"/>
        </w:rPr>
        <w:t>TAV. 10</w:t>
      </w:r>
    </w:p>
    <w:p w:rsidR="000F4E4D" w:rsidRPr="006865E4" w:rsidRDefault="00C379E0" w:rsidP="00971FB0">
      <w:pPr>
        <w:spacing w:line="312" w:lineRule="auto"/>
        <w:jc w:val="center"/>
        <w:rPr>
          <w:rFonts w:eastAsia="Arial Unicode MS"/>
          <w:sz w:val="24"/>
        </w:rPr>
      </w:pPr>
      <w:r>
        <w:rPr>
          <w:noProof/>
        </w:rPr>
        <w:drawing>
          <wp:inline distT="0" distB="0" distL="0" distR="0">
            <wp:extent cx="3590925" cy="2171700"/>
            <wp:effectExtent l="0" t="0" r="0" b="0"/>
            <wp:docPr id="7"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spect="1" noChangeArrowheads="1"/>
                    </pic:cNvPicPr>
                  </pic:nvPicPr>
                  <pic:blipFill>
                    <a:blip r:embed="rId28"/>
                    <a:srcRect/>
                    <a:stretch>
                      <a:fillRect/>
                    </a:stretch>
                  </pic:blipFill>
                  <pic:spPr bwMode="auto">
                    <a:xfrm>
                      <a:off x="0" y="0"/>
                      <a:ext cx="3590925" cy="2171700"/>
                    </a:xfrm>
                    <a:prstGeom prst="rect">
                      <a:avLst/>
                    </a:prstGeom>
                    <a:noFill/>
                    <a:ln w="9525">
                      <a:noFill/>
                      <a:miter lim="800000"/>
                      <a:headEnd/>
                      <a:tailEnd/>
                    </a:ln>
                  </pic:spPr>
                </pic:pic>
              </a:graphicData>
            </a:graphic>
          </wp:inline>
        </w:drawing>
      </w:r>
    </w:p>
    <w:p w:rsidR="000F4E4D" w:rsidRDefault="000F4E4D" w:rsidP="00706678">
      <w:pPr>
        <w:spacing w:line="312" w:lineRule="auto"/>
        <w:ind w:firstLine="284"/>
        <w:rPr>
          <w:rFonts w:eastAsia="Arial Unicode MS"/>
          <w:sz w:val="24"/>
        </w:rPr>
      </w:pPr>
    </w:p>
    <w:p w:rsidR="000F4E4D" w:rsidRPr="002B78C6" w:rsidRDefault="000F4E4D" w:rsidP="0038259F">
      <w:pPr>
        <w:jc w:val="center"/>
        <w:rPr>
          <w:b/>
          <w:sz w:val="22"/>
          <w:szCs w:val="22"/>
        </w:rPr>
      </w:pPr>
      <w:r w:rsidRPr="00FD3D6C">
        <w:rPr>
          <w:b/>
          <w:sz w:val="22"/>
          <w:szCs w:val="22"/>
        </w:rPr>
        <w:t>Imprese Artigiane</w:t>
      </w:r>
    </w:p>
    <w:p w:rsidR="000F4E4D" w:rsidRPr="00111485" w:rsidRDefault="000F4E4D" w:rsidP="00541787">
      <w:pPr>
        <w:autoSpaceDE w:val="0"/>
        <w:autoSpaceDN w:val="0"/>
        <w:adjustRightInd w:val="0"/>
        <w:spacing w:before="120"/>
        <w:jc w:val="center"/>
        <w:rPr>
          <w:rFonts w:eastAsia="Arial Unicode MS"/>
          <w:sz w:val="22"/>
          <w:szCs w:val="22"/>
        </w:rPr>
      </w:pPr>
      <w:r>
        <w:rPr>
          <w:i/>
          <w:sz w:val="18"/>
          <w:szCs w:val="18"/>
        </w:rPr>
        <w:t>TAV. 11</w:t>
      </w:r>
    </w:p>
    <w:p w:rsidR="000F4E4D" w:rsidRPr="006865E4" w:rsidRDefault="00C379E0" w:rsidP="00971FB0">
      <w:pPr>
        <w:spacing w:line="312" w:lineRule="auto"/>
        <w:jc w:val="center"/>
        <w:rPr>
          <w:rFonts w:eastAsia="Arial Unicode MS"/>
          <w:sz w:val="24"/>
        </w:rPr>
      </w:pPr>
      <w:r>
        <w:rPr>
          <w:noProof/>
        </w:rPr>
        <w:drawing>
          <wp:inline distT="0" distB="0" distL="0" distR="0">
            <wp:extent cx="3581400" cy="2324100"/>
            <wp:effectExtent l="0" t="0" r="0" b="0"/>
            <wp:docPr id="6"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29"/>
                    <a:srcRect/>
                    <a:stretch>
                      <a:fillRect/>
                    </a:stretch>
                  </pic:blipFill>
                  <pic:spPr bwMode="auto">
                    <a:xfrm>
                      <a:off x="0" y="0"/>
                      <a:ext cx="3581400" cy="2324100"/>
                    </a:xfrm>
                    <a:prstGeom prst="rect">
                      <a:avLst/>
                    </a:prstGeom>
                    <a:noFill/>
                    <a:ln w="9525">
                      <a:noFill/>
                      <a:miter lim="800000"/>
                      <a:headEnd/>
                      <a:tailEnd/>
                    </a:ln>
                  </pic:spPr>
                </pic:pic>
              </a:graphicData>
            </a:graphic>
          </wp:inline>
        </w:drawing>
      </w:r>
    </w:p>
    <w:p w:rsidR="000F4E4D" w:rsidRPr="00BA7247" w:rsidRDefault="000F4E4D" w:rsidP="00706678">
      <w:pPr>
        <w:spacing w:line="312" w:lineRule="auto"/>
        <w:ind w:firstLine="284"/>
        <w:rPr>
          <w:rFonts w:eastAsia="Arial Unicode MS"/>
          <w:sz w:val="24"/>
          <w:highlight w:val="yellow"/>
        </w:rPr>
      </w:pPr>
    </w:p>
    <w:p w:rsidR="000F4E4D" w:rsidRPr="00F81B1C" w:rsidRDefault="000F4E4D" w:rsidP="00706678">
      <w:pPr>
        <w:spacing w:line="312" w:lineRule="auto"/>
        <w:ind w:firstLine="284"/>
        <w:rPr>
          <w:rFonts w:eastAsia="Arial Unicode MS"/>
          <w:sz w:val="24"/>
        </w:rPr>
      </w:pPr>
      <w:r w:rsidRPr="007D4F13">
        <w:rPr>
          <w:rFonts w:eastAsia="Arial Unicode MS"/>
          <w:sz w:val="24"/>
        </w:rPr>
        <w:t xml:space="preserve">Rispetto al periodo aprile–giugno 2014 </w:t>
      </w:r>
      <w:r>
        <w:rPr>
          <w:rFonts w:eastAsia="Arial Unicode MS"/>
          <w:sz w:val="24"/>
        </w:rPr>
        <w:t>quasi il 14</w:t>
      </w:r>
      <w:r w:rsidRPr="007D4F13">
        <w:rPr>
          <w:rFonts w:eastAsia="Arial Unicode MS"/>
          <w:sz w:val="24"/>
        </w:rPr>
        <w:t xml:space="preserve">% delle imprese artigiane dichiara </w:t>
      </w:r>
      <w:r>
        <w:rPr>
          <w:rFonts w:eastAsia="Arial Unicode MS"/>
          <w:sz w:val="24"/>
        </w:rPr>
        <w:t>un aumento degli ordini, il 57</w:t>
      </w:r>
      <w:r w:rsidRPr="007D4F13">
        <w:rPr>
          <w:rFonts w:eastAsia="Arial Unicode MS"/>
          <w:sz w:val="24"/>
        </w:rPr>
        <w:t>% stabilità</w:t>
      </w:r>
      <w:r>
        <w:rPr>
          <w:rFonts w:eastAsia="Arial Unicode MS"/>
          <w:sz w:val="24"/>
        </w:rPr>
        <w:t xml:space="preserve"> e il 29% una diminuzione</w:t>
      </w:r>
      <w:r w:rsidRPr="007D4F13">
        <w:rPr>
          <w:rFonts w:eastAsia="Arial Unicode MS"/>
          <w:sz w:val="24"/>
        </w:rPr>
        <w:t xml:space="preserve">. Anche in questo caso le differenze con gli ambiti territoriali di riferimento sono evidenti: Emilia-Romagna </w:t>
      </w:r>
      <w:r>
        <w:rPr>
          <w:rFonts w:eastAsia="Arial Unicode MS"/>
          <w:sz w:val="24"/>
        </w:rPr>
        <w:t>17%  aumento, 50% stabilità, 33% diminuzione; Italia 21% in aumento, 40% stabile, 39</w:t>
      </w:r>
      <w:r w:rsidRPr="007D4F13">
        <w:rPr>
          <w:rFonts w:eastAsia="Arial Unicode MS"/>
          <w:sz w:val="24"/>
        </w:rPr>
        <w:t>% in diminuzione.</w:t>
      </w:r>
    </w:p>
    <w:p w:rsidR="000F4E4D" w:rsidRPr="00163510" w:rsidRDefault="000F4E4D" w:rsidP="00706678">
      <w:pPr>
        <w:tabs>
          <w:tab w:val="center" w:pos="4819"/>
        </w:tabs>
        <w:spacing w:line="312" w:lineRule="auto"/>
        <w:rPr>
          <w:i/>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0F4E4D" w:rsidRPr="00F81B1C" w:rsidTr="004C13A5">
        <w:trPr>
          <w:trHeight w:val="2246"/>
        </w:trPr>
        <w:tc>
          <w:tcPr>
            <w:tcW w:w="9570" w:type="dxa"/>
          </w:tcPr>
          <w:p w:rsidR="000F4E4D" w:rsidRPr="004C13A5" w:rsidRDefault="000F4E4D" w:rsidP="004C13A5">
            <w:pPr>
              <w:spacing w:line="312" w:lineRule="auto"/>
              <w:ind w:left="284"/>
              <w:rPr>
                <w:rFonts w:eastAsia="Arial Unicode MS"/>
                <w:sz w:val="24"/>
              </w:rPr>
            </w:pPr>
          </w:p>
          <w:p w:rsidR="000F4E4D" w:rsidRPr="004C13A5" w:rsidRDefault="000F4E4D" w:rsidP="004C13A5">
            <w:pPr>
              <w:numPr>
                <w:ilvl w:val="0"/>
                <w:numId w:val="10"/>
              </w:numPr>
              <w:spacing w:line="312" w:lineRule="auto"/>
              <w:rPr>
                <w:rFonts w:eastAsia="Arial Unicode MS"/>
                <w:sz w:val="24"/>
              </w:rPr>
            </w:pPr>
            <w:r w:rsidRPr="004C13A5">
              <w:rPr>
                <w:rFonts w:eastAsia="Arial Unicode MS"/>
                <w:sz w:val="24"/>
              </w:rPr>
              <w:t>la congiuntura manifatturiera provinciale risulta peggiore rispetto a quella dei due ambiti territoriali di confronto (Emilia-Romagna e Italia);</w:t>
            </w:r>
          </w:p>
          <w:p w:rsidR="000F4E4D" w:rsidRPr="004C13A5" w:rsidRDefault="000F4E4D" w:rsidP="004C13A5">
            <w:pPr>
              <w:numPr>
                <w:ilvl w:val="0"/>
                <w:numId w:val="10"/>
              </w:numPr>
              <w:spacing w:line="312" w:lineRule="auto"/>
              <w:rPr>
                <w:rFonts w:eastAsia="Arial Unicode MS"/>
                <w:sz w:val="24"/>
              </w:rPr>
            </w:pPr>
            <w:r w:rsidRPr="004C13A5">
              <w:rPr>
                <w:rFonts w:eastAsia="Arial Unicode MS"/>
                <w:sz w:val="24"/>
              </w:rPr>
              <w:t>le imprese artigiane si trovano in una condizione di maggiore difficoltà;</w:t>
            </w:r>
          </w:p>
          <w:p w:rsidR="000F4E4D" w:rsidRPr="004C13A5" w:rsidRDefault="000F4E4D" w:rsidP="004C13A5">
            <w:pPr>
              <w:numPr>
                <w:ilvl w:val="0"/>
                <w:numId w:val="10"/>
              </w:numPr>
              <w:spacing w:line="312" w:lineRule="auto"/>
              <w:rPr>
                <w:rFonts w:eastAsia="Arial Unicode MS"/>
                <w:sz w:val="24"/>
              </w:rPr>
            </w:pPr>
            <w:r w:rsidRPr="004C13A5">
              <w:rPr>
                <w:rFonts w:eastAsia="Arial Unicode MS"/>
                <w:sz w:val="24"/>
              </w:rPr>
              <w:t>l’unica variabile che mostra segnali positivi è quella legata al fatturato estero  (escluso quello delle imprese artigiane).</w:t>
            </w:r>
          </w:p>
        </w:tc>
      </w:tr>
    </w:tbl>
    <w:p w:rsidR="000F4E4D" w:rsidRDefault="000F4E4D" w:rsidP="00F81B1C">
      <w:pPr>
        <w:spacing w:line="312" w:lineRule="auto"/>
        <w:ind w:firstLine="284"/>
        <w:rPr>
          <w:rFonts w:eastAsia="Arial Unicode MS"/>
          <w:sz w:val="24"/>
        </w:rPr>
      </w:pPr>
    </w:p>
    <w:p w:rsidR="000F4E4D" w:rsidRDefault="00163510" w:rsidP="0038259F">
      <w:pPr>
        <w:jc w:val="center"/>
        <w:rPr>
          <w:i/>
          <w:sz w:val="18"/>
          <w:szCs w:val="18"/>
        </w:rPr>
      </w:pPr>
      <w:r>
        <w:rPr>
          <w:b/>
          <w:sz w:val="22"/>
          <w:szCs w:val="22"/>
        </w:rPr>
        <w:br w:type="page"/>
      </w:r>
      <w:r w:rsidR="000F4E4D" w:rsidRPr="00FD3D6C">
        <w:rPr>
          <w:b/>
          <w:sz w:val="22"/>
          <w:szCs w:val="22"/>
        </w:rPr>
        <w:lastRenderedPageBreak/>
        <w:t>IMPRESE MANIFATTURIERE TOTALI</w:t>
      </w:r>
      <w:r w:rsidR="000F4E4D">
        <w:rPr>
          <w:b/>
          <w:sz w:val="22"/>
          <w:szCs w:val="22"/>
          <w:bdr w:val="single" w:sz="4" w:space="0" w:color="auto"/>
        </w:rPr>
        <w:t xml:space="preserve"> </w:t>
      </w:r>
    </w:p>
    <w:p w:rsidR="000F4E4D" w:rsidRDefault="000F4E4D" w:rsidP="00706678">
      <w:pPr>
        <w:jc w:val="center"/>
        <w:rPr>
          <w:b/>
          <w:sz w:val="22"/>
          <w:szCs w:val="22"/>
        </w:rPr>
      </w:pPr>
      <w:r w:rsidRPr="00EC1A9C">
        <w:rPr>
          <w:b/>
          <w:sz w:val="22"/>
          <w:szCs w:val="22"/>
        </w:rPr>
        <w:t>negli ultimi 6 anni</w:t>
      </w:r>
    </w:p>
    <w:p w:rsidR="000F4E4D" w:rsidRDefault="000F4E4D" w:rsidP="00541787">
      <w:pPr>
        <w:spacing w:before="120"/>
        <w:jc w:val="center"/>
        <w:rPr>
          <w:b/>
          <w:sz w:val="22"/>
          <w:szCs w:val="22"/>
          <w:bdr w:val="single" w:sz="4" w:space="0" w:color="auto"/>
        </w:rPr>
      </w:pPr>
      <w:r>
        <w:rPr>
          <w:i/>
          <w:sz w:val="18"/>
          <w:szCs w:val="18"/>
        </w:rPr>
        <w:t>TAV. 12</w:t>
      </w:r>
    </w:p>
    <w:p w:rsidR="00163510" w:rsidRDefault="00163510" w:rsidP="00165490">
      <w:pPr>
        <w:spacing w:line="312" w:lineRule="auto"/>
        <w:rPr>
          <w:rFonts w:eastAsia="Arial Unicode MS"/>
          <w:sz w:val="8"/>
          <w:szCs w:val="8"/>
        </w:rPr>
      </w:pPr>
    </w:p>
    <w:p w:rsidR="00163510" w:rsidRDefault="007C26C8" w:rsidP="00165490">
      <w:pPr>
        <w:spacing w:line="312" w:lineRule="auto"/>
        <w:rPr>
          <w:rFonts w:eastAsia="Arial Unicode MS"/>
          <w:sz w:val="8"/>
          <w:szCs w:val="8"/>
        </w:rPr>
      </w:pPr>
      <w:r w:rsidRPr="007C26C8">
        <w:rPr>
          <w:rFonts w:eastAsia="Arial Unicode MS"/>
          <w:sz w:val="8"/>
          <w:szCs w:val="8"/>
        </w:rPr>
        <w:drawing>
          <wp:inline distT="0" distB="0" distL="0" distR="0">
            <wp:extent cx="5760000" cy="3027844"/>
            <wp:effectExtent l="19050" t="0" r="12150" b="1106"/>
            <wp:docPr id="18" name="Grafic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63510" w:rsidRDefault="00163510" w:rsidP="00165490">
      <w:pPr>
        <w:spacing w:line="312" w:lineRule="auto"/>
        <w:rPr>
          <w:rFonts w:eastAsia="Arial Unicode MS"/>
          <w:sz w:val="8"/>
          <w:szCs w:val="8"/>
        </w:rPr>
      </w:pPr>
    </w:p>
    <w:p w:rsidR="000F4E4D" w:rsidRDefault="000F4E4D" w:rsidP="00D021B5">
      <w:pPr>
        <w:spacing w:line="312" w:lineRule="auto"/>
        <w:rPr>
          <w:rFonts w:eastAsia="Arial Unicode MS"/>
          <w:sz w:val="24"/>
        </w:rPr>
      </w:pPr>
    </w:p>
    <w:p w:rsidR="000F4E4D" w:rsidRDefault="000F4E4D" w:rsidP="00697BAF">
      <w:pPr>
        <w:spacing w:line="312" w:lineRule="auto"/>
        <w:ind w:firstLine="284"/>
        <w:rPr>
          <w:rFonts w:eastAsia="Arial Unicode MS"/>
          <w:sz w:val="24"/>
        </w:rPr>
      </w:pPr>
      <w:r>
        <w:rPr>
          <w:rFonts w:eastAsia="Arial Unicode MS"/>
          <w:sz w:val="24"/>
        </w:rPr>
        <w:t>Negli ultimi 6 anni è evidente il crollo delle variabili nel 2009, una ripresa nel 2010/2011 e un andamento negativo nel 2012/2013 e anche per l’anno in corso (tre trimestri su quattro) a parte per l’estero.</w:t>
      </w:r>
    </w:p>
    <w:p w:rsidR="000F4E4D" w:rsidRDefault="000F4E4D" w:rsidP="00D021B5">
      <w:pPr>
        <w:spacing w:line="312" w:lineRule="auto"/>
        <w:rPr>
          <w:rFonts w:eastAsia="Arial Unicode MS"/>
          <w:sz w:val="24"/>
        </w:rPr>
      </w:pPr>
    </w:p>
    <w:p w:rsidR="000F4E4D" w:rsidRPr="00EA48E6" w:rsidRDefault="000F4E4D" w:rsidP="00706678">
      <w:pPr>
        <w:spacing w:line="312" w:lineRule="auto"/>
        <w:ind w:firstLine="284"/>
        <w:rPr>
          <w:rFonts w:eastAsia="Arial Unicode MS"/>
          <w:sz w:val="24"/>
        </w:rPr>
      </w:pPr>
      <w:r w:rsidRPr="00EA48E6">
        <w:rPr>
          <w:rFonts w:eastAsia="Arial Unicode MS"/>
          <w:sz w:val="24"/>
        </w:rPr>
        <w:t>Per</w:t>
      </w:r>
      <w:r>
        <w:rPr>
          <w:rFonts w:eastAsia="Arial Unicode MS"/>
          <w:sz w:val="24"/>
        </w:rPr>
        <w:t xml:space="preserve"> quanto riguarda le previsioni per</w:t>
      </w:r>
      <w:r w:rsidRPr="00EA48E6">
        <w:rPr>
          <w:rFonts w:eastAsia="Arial Unicode MS"/>
          <w:sz w:val="24"/>
        </w:rPr>
        <w:t xml:space="preserve"> il</w:t>
      </w:r>
      <w:r>
        <w:rPr>
          <w:rFonts w:eastAsia="Arial Unicode MS"/>
          <w:sz w:val="24"/>
        </w:rPr>
        <w:t xml:space="preserve"> 4°</w:t>
      </w:r>
      <w:r w:rsidRPr="00EA48E6">
        <w:rPr>
          <w:rFonts w:eastAsia="Arial Unicode MS"/>
          <w:sz w:val="24"/>
        </w:rPr>
        <w:t xml:space="preserve"> trimestre </w:t>
      </w:r>
      <w:r>
        <w:rPr>
          <w:rFonts w:eastAsia="Arial Unicode MS"/>
          <w:sz w:val="24"/>
        </w:rPr>
        <w:t>2014</w:t>
      </w:r>
      <w:r w:rsidRPr="00EA48E6">
        <w:rPr>
          <w:rFonts w:eastAsia="Arial Unicode MS"/>
          <w:sz w:val="24"/>
        </w:rPr>
        <w:t xml:space="preserve"> la m</w:t>
      </w:r>
      <w:r>
        <w:rPr>
          <w:rFonts w:eastAsia="Arial Unicode MS"/>
          <w:sz w:val="24"/>
        </w:rPr>
        <w:t>aggior parte delle imprese (71</w:t>
      </w:r>
      <w:r w:rsidRPr="00EA48E6">
        <w:rPr>
          <w:rFonts w:eastAsia="Arial Unicode MS"/>
          <w:sz w:val="24"/>
        </w:rPr>
        <w:t>%) si attende stabilità dei livelli di produzione; del restante 2</w:t>
      </w:r>
      <w:r>
        <w:rPr>
          <w:rFonts w:eastAsia="Arial Unicode MS"/>
          <w:sz w:val="24"/>
        </w:rPr>
        <w:t>9</w:t>
      </w:r>
      <w:r w:rsidRPr="00EA48E6">
        <w:rPr>
          <w:rFonts w:eastAsia="Arial Unicode MS"/>
          <w:sz w:val="24"/>
        </w:rPr>
        <w:t xml:space="preserve">% </w:t>
      </w:r>
      <w:r>
        <w:rPr>
          <w:rFonts w:eastAsia="Arial Unicode MS"/>
          <w:sz w:val="24"/>
        </w:rPr>
        <w:t>il 1</w:t>
      </w:r>
      <w:r w:rsidRPr="00EA48E6">
        <w:rPr>
          <w:rFonts w:eastAsia="Arial Unicode MS"/>
          <w:sz w:val="24"/>
        </w:rPr>
        <w:t>7%</w:t>
      </w:r>
      <w:r>
        <w:rPr>
          <w:rFonts w:eastAsia="Arial Unicode MS"/>
          <w:sz w:val="24"/>
        </w:rPr>
        <w:t xml:space="preserve"> circa</w:t>
      </w:r>
      <w:r w:rsidRPr="00EA48E6">
        <w:rPr>
          <w:rFonts w:eastAsia="Arial Unicode MS"/>
          <w:sz w:val="24"/>
        </w:rPr>
        <w:t xml:space="preserve"> prevede un aumento mentre il 1</w:t>
      </w:r>
      <w:r>
        <w:rPr>
          <w:rFonts w:eastAsia="Arial Unicode MS"/>
          <w:sz w:val="24"/>
        </w:rPr>
        <w:t>3</w:t>
      </w:r>
      <w:r w:rsidRPr="00EA48E6">
        <w:rPr>
          <w:rFonts w:eastAsia="Arial Unicode MS"/>
          <w:sz w:val="24"/>
        </w:rPr>
        <w:t xml:space="preserve">% una diminuzione. Per le imprese artigiane </w:t>
      </w:r>
      <w:r>
        <w:rPr>
          <w:rFonts w:eastAsia="Arial Unicode MS"/>
          <w:sz w:val="24"/>
        </w:rPr>
        <w:t>le previsioni nei livelli di produzione sono le</w:t>
      </w:r>
      <w:r w:rsidRPr="00EA48E6">
        <w:rPr>
          <w:rFonts w:eastAsia="Arial Unicode MS"/>
          <w:sz w:val="24"/>
        </w:rPr>
        <w:t xml:space="preserve"> seguenti: 13% in aumento, 6</w:t>
      </w:r>
      <w:r>
        <w:rPr>
          <w:rFonts w:eastAsia="Arial Unicode MS"/>
          <w:sz w:val="24"/>
        </w:rPr>
        <w:t>0% stabilità, 27</w:t>
      </w:r>
      <w:r w:rsidRPr="00EA48E6">
        <w:rPr>
          <w:rFonts w:eastAsia="Arial Unicode MS"/>
          <w:sz w:val="24"/>
        </w:rPr>
        <w:t>% in diminuzione. La consistenza del portafoglio ordini assicurerà 7,4 settimane di produzione (4,1 alle imprese artigiane).</w:t>
      </w:r>
    </w:p>
    <w:p w:rsidR="000F4E4D" w:rsidRPr="0021533F" w:rsidRDefault="000F4E4D" w:rsidP="00706678">
      <w:pPr>
        <w:spacing w:line="312" w:lineRule="auto"/>
        <w:ind w:firstLine="284"/>
        <w:rPr>
          <w:rFonts w:eastAsia="Arial Unicode MS"/>
          <w:sz w:val="22"/>
          <w:szCs w:val="22"/>
          <w:highlight w:val="yellow"/>
        </w:rPr>
      </w:pPr>
    </w:p>
    <w:p w:rsidR="000F4E4D" w:rsidRPr="00EA48E6" w:rsidRDefault="000F4E4D" w:rsidP="00706678">
      <w:pPr>
        <w:spacing w:line="312" w:lineRule="auto"/>
        <w:ind w:firstLine="284"/>
        <w:rPr>
          <w:rFonts w:eastAsia="Arial Unicode MS"/>
          <w:sz w:val="24"/>
        </w:rPr>
      </w:pPr>
      <w:r w:rsidRPr="00EA48E6">
        <w:rPr>
          <w:rFonts w:eastAsia="Arial Unicode MS"/>
          <w:sz w:val="24"/>
        </w:rPr>
        <w:t>Per quanto riguarda il fatturato</w:t>
      </w:r>
      <w:r>
        <w:rPr>
          <w:rFonts w:eastAsia="Arial Unicode MS"/>
          <w:sz w:val="24"/>
        </w:rPr>
        <w:t>,</w:t>
      </w:r>
      <w:r w:rsidRPr="00EA48E6">
        <w:rPr>
          <w:rFonts w:eastAsia="Arial Unicode MS"/>
          <w:sz w:val="24"/>
        </w:rPr>
        <w:t xml:space="preserve"> </w:t>
      </w:r>
      <w:r>
        <w:rPr>
          <w:rFonts w:eastAsia="Arial Unicode MS"/>
          <w:sz w:val="24"/>
        </w:rPr>
        <w:t>la maggioranza delle imprese</w:t>
      </w:r>
      <w:r w:rsidRPr="00EA48E6">
        <w:rPr>
          <w:rFonts w:eastAsia="Arial Unicode MS"/>
          <w:sz w:val="24"/>
        </w:rPr>
        <w:t xml:space="preserve"> </w:t>
      </w:r>
      <w:r>
        <w:rPr>
          <w:rFonts w:eastAsia="Arial Unicode MS"/>
          <w:sz w:val="24"/>
        </w:rPr>
        <w:t>(59</w:t>
      </w:r>
      <w:r w:rsidRPr="00EA48E6">
        <w:rPr>
          <w:rFonts w:eastAsia="Arial Unicode MS"/>
          <w:sz w:val="24"/>
        </w:rPr>
        <w:t>%</w:t>
      </w:r>
      <w:r>
        <w:rPr>
          <w:rFonts w:eastAsia="Arial Unicode MS"/>
          <w:sz w:val="24"/>
        </w:rPr>
        <w:t xml:space="preserve"> circa) prevede stabilità, il 2</w:t>
      </w:r>
      <w:r w:rsidRPr="00EA48E6">
        <w:rPr>
          <w:rFonts w:eastAsia="Arial Unicode MS"/>
          <w:sz w:val="24"/>
        </w:rPr>
        <w:t xml:space="preserve">8% </w:t>
      </w:r>
      <w:r>
        <w:rPr>
          <w:rFonts w:eastAsia="Arial Unicode MS"/>
          <w:sz w:val="24"/>
        </w:rPr>
        <w:t>si attende un aumento e il 13</w:t>
      </w:r>
      <w:r w:rsidRPr="00EA48E6">
        <w:rPr>
          <w:rFonts w:eastAsia="Arial Unicode MS"/>
          <w:sz w:val="24"/>
        </w:rPr>
        <w:t>% una diminuzione. Le previsioni per le imprese artigia</w:t>
      </w:r>
      <w:r>
        <w:rPr>
          <w:rFonts w:eastAsia="Arial Unicode MS"/>
          <w:sz w:val="24"/>
        </w:rPr>
        <w:t>ne sono invece le seguenti: 58% stabilità, 14</w:t>
      </w:r>
      <w:r w:rsidRPr="00EA48E6">
        <w:rPr>
          <w:rFonts w:eastAsia="Arial Unicode MS"/>
          <w:sz w:val="24"/>
        </w:rPr>
        <w:t xml:space="preserve">% </w:t>
      </w:r>
      <w:r>
        <w:rPr>
          <w:rFonts w:eastAsia="Arial Unicode MS"/>
          <w:sz w:val="24"/>
        </w:rPr>
        <w:t>aumento, 28</w:t>
      </w:r>
      <w:r w:rsidRPr="00EA48E6">
        <w:rPr>
          <w:rFonts w:eastAsia="Arial Unicode MS"/>
          <w:sz w:val="24"/>
        </w:rPr>
        <w:t>% diminuzione.</w:t>
      </w:r>
    </w:p>
    <w:p w:rsidR="000F4E4D" w:rsidRPr="0021533F" w:rsidRDefault="000F4E4D" w:rsidP="00706678">
      <w:pPr>
        <w:spacing w:line="312" w:lineRule="auto"/>
        <w:ind w:firstLine="284"/>
        <w:rPr>
          <w:rFonts w:eastAsia="Arial Unicode MS"/>
          <w:sz w:val="22"/>
          <w:szCs w:val="22"/>
          <w:highlight w:val="yellow"/>
        </w:rPr>
      </w:pPr>
    </w:p>
    <w:p w:rsidR="000F4E4D" w:rsidRPr="00F81B1C" w:rsidRDefault="000F4E4D" w:rsidP="00706678">
      <w:pPr>
        <w:spacing w:line="312" w:lineRule="auto"/>
        <w:ind w:firstLine="284"/>
        <w:rPr>
          <w:rFonts w:eastAsia="Arial Unicode MS"/>
          <w:sz w:val="24"/>
        </w:rPr>
      </w:pPr>
      <w:r w:rsidRPr="0006018E">
        <w:rPr>
          <w:rFonts w:eastAsia="Arial Unicode MS"/>
          <w:sz w:val="24"/>
        </w:rPr>
        <w:t xml:space="preserve">La situazione degli ordini non si discosta da quella </w:t>
      </w:r>
      <w:r>
        <w:rPr>
          <w:rFonts w:eastAsia="Arial Unicode MS"/>
          <w:sz w:val="24"/>
        </w:rPr>
        <w:t>del</w:t>
      </w:r>
      <w:r w:rsidRPr="0006018E">
        <w:rPr>
          <w:rFonts w:eastAsia="Arial Unicode MS"/>
          <w:sz w:val="24"/>
        </w:rPr>
        <w:t>le altre due variabil</w:t>
      </w:r>
      <w:r>
        <w:rPr>
          <w:rFonts w:eastAsia="Arial Unicode MS"/>
          <w:sz w:val="24"/>
        </w:rPr>
        <w:t>i: per le imprese totali il 64</w:t>
      </w:r>
      <w:r w:rsidRPr="0006018E">
        <w:rPr>
          <w:rFonts w:eastAsia="Arial Unicode MS"/>
          <w:sz w:val="24"/>
        </w:rPr>
        <w:t>%</w:t>
      </w:r>
      <w:r>
        <w:rPr>
          <w:rFonts w:eastAsia="Arial Unicode MS"/>
          <w:sz w:val="24"/>
        </w:rPr>
        <w:t xml:space="preserve"> circa</w:t>
      </w:r>
      <w:r w:rsidRPr="0006018E">
        <w:rPr>
          <w:rFonts w:eastAsia="Arial Unicode MS"/>
          <w:sz w:val="24"/>
        </w:rPr>
        <w:t xml:space="preserve"> prevede stabilità, il 2</w:t>
      </w:r>
      <w:r>
        <w:rPr>
          <w:rFonts w:eastAsia="Arial Unicode MS"/>
          <w:sz w:val="24"/>
        </w:rPr>
        <w:t>3</w:t>
      </w:r>
      <w:r w:rsidRPr="0006018E">
        <w:rPr>
          <w:rFonts w:eastAsia="Arial Unicode MS"/>
          <w:sz w:val="24"/>
        </w:rPr>
        <w:t>%</w:t>
      </w:r>
      <w:r>
        <w:rPr>
          <w:rFonts w:eastAsia="Arial Unicode MS"/>
          <w:sz w:val="24"/>
        </w:rPr>
        <w:t xml:space="preserve"> si attende un aumento e il 13</w:t>
      </w:r>
      <w:r w:rsidRPr="0006018E">
        <w:rPr>
          <w:rFonts w:eastAsia="Arial Unicode MS"/>
          <w:sz w:val="24"/>
        </w:rPr>
        <w:t>% una diminuzione, mentre per ciò che riguarda le imprese artigia</w:t>
      </w:r>
      <w:r>
        <w:rPr>
          <w:rFonts w:eastAsia="Arial Unicode MS"/>
          <w:sz w:val="24"/>
        </w:rPr>
        <w:t>ne il 59% prevede stabilità, il 14</w:t>
      </w:r>
      <w:r w:rsidRPr="0006018E">
        <w:rPr>
          <w:rFonts w:eastAsia="Arial Unicode MS"/>
          <w:sz w:val="24"/>
        </w:rPr>
        <w:t>%</w:t>
      </w:r>
      <w:r>
        <w:rPr>
          <w:rFonts w:eastAsia="Arial Unicode MS"/>
          <w:sz w:val="24"/>
        </w:rPr>
        <w:t xml:space="preserve"> si attende un aumento e il 27</w:t>
      </w:r>
      <w:r w:rsidRPr="0006018E">
        <w:rPr>
          <w:rFonts w:eastAsia="Arial Unicode MS"/>
          <w:sz w:val="24"/>
        </w:rPr>
        <w:t>% una diminuzione.</w:t>
      </w:r>
    </w:p>
    <w:p w:rsidR="000F4E4D" w:rsidRDefault="000F4E4D" w:rsidP="00F81B1C">
      <w:pPr>
        <w:spacing w:line="312" w:lineRule="auto"/>
        <w:ind w:firstLine="284"/>
        <w:rPr>
          <w:rFonts w:eastAsia="Arial Unicode MS"/>
          <w:sz w:val="24"/>
        </w:rPr>
      </w:pPr>
    </w:p>
    <w:p w:rsidR="000F4E4D" w:rsidRPr="00706678" w:rsidRDefault="00163510" w:rsidP="00706678">
      <w:pPr>
        <w:rPr>
          <w:color w:val="C00000"/>
          <w:sz w:val="22"/>
          <w:szCs w:val="22"/>
        </w:rPr>
      </w:pPr>
      <w:r>
        <w:rPr>
          <w:color w:val="C00000"/>
          <w:sz w:val="22"/>
          <w:szCs w:val="22"/>
        </w:rPr>
        <w:br w:type="page"/>
      </w:r>
      <w:r w:rsidR="000F4E4D" w:rsidRPr="00706678">
        <w:rPr>
          <w:color w:val="C00000"/>
          <w:sz w:val="22"/>
          <w:szCs w:val="22"/>
        </w:rPr>
        <w:lastRenderedPageBreak/>
        <w:t>2. CONGIUNTURA DEL SETTORE EDILE</w:t>
      </w:r>
    </w:p>
    <w:p w:rsidR="000F4E4D" w:rsidRPr="00163510" w:rsidRDefault="000F4E4D" w:rsidP="00706678">
      <w:pPr>
        <w:rPr>
          <w:rFonts w:eastAsia="Arial Unicode MS"/>
          <w:sz w:val="24"/>
        </w:rPr>
      </w:pPr>
    </w:p>
    <w:p w:rsidR="000F4E4D" w:rsidRDefault="000F4E4D" w:rsidP="006411A5">
      <w:pPr>
        <w:spacing w:line="312" w:lineRule="auto"/>
        <w:ind w:firstLine="284"/>
        <w:rPr>
          <w:rFonts w:eastAsia="Arial Unicode MS"/>
          <w:sz w:val="24"/>
          <w:highlight w:val="yellow"/>
        </w:rPr>
      </w:pPr>
      <w:r>
        <w:rPr>
          <w:rFonts w:eastAsia="Arial Unicode MS"/>
          <w:sz w:val="24"/>
        </w:rPr>
        <w:t>Il settore delle costruzioni</w:t>
      </w:r>
      <w:r w:rsidRPr="004B5E25">
        <w:rPr>
          <w:rFonts w:eastAsia="Arial Unicode MS"/>
          <w:sz w:val="24"/>
        </w:rPr>
        <w:t xml:space="preserve"> continua ad essere uno tra i più colpiti dalla crisi</w:t>
      </w:r>
      <w:r>
        <w:rPr>
          <w:rFonts w:eastAsia="Arial Unicode MS"/>
          <w:sz w:val="24"/>
        </w:rPr>
        <w:t xml:space="preserve"> anche nell’anno in corso;</w:t>
      </w:r>
      <w:r w:rsidRPr="004B5E25">
        <w:rPr>
          <w:rFonts w:eastAsia="Arial Unicode MS"/>
          <w:sz w:val="24"/>
        </w:rPr>
        <w:t xml:space="preserve"> </w:t>
      </w:r>
      <w:r>
        <w:rPr>
          <w:rFonts w:eastAsia="Arial Unicode MS"/>
          <w:sz w:val="24"/>
        </w:rPr>
        <w:t xml:space="preserve">basti pensare che in Italia, solo nei primi nove mesi del 2014, vi sono state ben 2.223 imprese entrate in procedura fallimentare (+18,2% rispetto allo stesso periodo del 2013), con un calo occupazionale annuo del 3,8% </w:t>
      </w:r>
      <w:r w:rsidRPr="005F0C6B">
        <w:rPr>
          <w:rFonts w:eastAsia="Arial Unicode MS"/>
          <w:sz w:val="24"/>
        </w:rPr>
        <w:t>(dati Registro Imprese)</w:t>
      </w:r>
      <w:r>
        <w:rPr>
          <w:rFonts w:eastAsia="Arial Unicode MS"/>
          <w:sz w:val="24"/>
        </w:rPr>
        <w:t>. Secondo le stime dell’ANCE, inoltre, dal 2008 alla fine del 2014 il settore delle Costruzioni avrà perso il 31,7% degli investimenti pari a circa 58.800 milioni di Euro; a ciò avrà contribuito senz’altro la forte contrazione dei finanziamenti bancari alle imprese edili, che complessivamente, tra il 2007 e il 2013, sono crollati del 73,4% nel non residenziale e del 64,1% nell’abitativo (dati Banca d’Italia)</w:t>
      </w:r>
      <w:r w:rsidRPr="00491624">
        <w:rPr>
          <w:rFonts w:eastAsia="Arial Unicode MS"/>
          <w:sz w:val="24"/>
        </w:rPr>
        <w:t>.</w:t>
      </w:r>
    </w:p>
    <w:p w:rsidR="0092414A" w:rsidRDefault="0092414A" w:rsidP="006411A5">
      <w:pPr>
        <w:spacing w:line="312" w:lineRule="auto"/>
        <w:ind w:firstLine="284"/>
        <w:rPr>
          <w:rFonts w:eastAsia="Arial Unicode MS"/>
          <w:sz w:val="24"/>
        </w:rPr>
      </w:pPr>
    </w:p>
    <w:p w:rsidR="000F4E4D" w:rsidRPr="00233B5B" w:rsidRDefault="000F4E4D" w:rsidP="006411A5">
      <w:pPr>
        <w:spacing w:line="312" w:lineRule="auto"/>
        <w:ind w:firstLine="284"/>
        <w:rPr>
          <w:rFonts w:eastAsia="Arial Unicode MS"/>
          <w:sz w:val="24"/>
        </w:rPr>
      </w:pPr>
      <w:r w:rsidRPr="00233B5B">
        <w:rPr>
          <w:rFonts w:eastAsia="Arial Unicode MS"/>
          <w:sz w:val="24"/>
        </w:rPr>
        <w:t>Anche i dati ISTAT relativi al 3° trimestre 2014 continuano ad essere non incoraggianti: la produzione nelle costruzioni, infatti, cala del 9,0% rispetto allo stesso periodo dell’anno precedente (</w:t>
      </w:r>
      <w:r>
        <w:rPr>
          <w:rFonts w:eastAsia="Arial Unicode MS"/>
          <w:sz w:val="24"/>
        </w:rPr>
        <w:t xml:space="preserve">peggior </w:t>
      </w:r>
      <w:r w:rsidRPr="00233B5B">
        <w:rPr>
          <w:rFonts w:eastAsia="Arial Unicode MS"/>
          <w:sz w:val="24"/>
        </w:rPr>
        <w:t xml:space="preserve">dato </w:t>
      </w:r>
      <w:r>
        <w:rPr>
          <w:rFonts w:eastAsia="Arial Unicode MS"/>
          <w:sz w:val="24"/>
        </w:rPr>
        <w:t xml:space="preserve">trimestrale </w:t>
      </w:r>
      <w:r w:rsidRPr="00233B5B">
        <w:rPr>
          <w:rFonts w:eastAsia="Arial Unicode MS"/>
          <w:sz w:val="24"/>
        </w:rPr>
        <w:t xml:space="preserve">2014) </w:t>
      </w:r>
      <w:r>
        <w:rPr>
          <w:rFonts w:eastAsia="Arial Unicode MS"/>
          <w:sz w:val="24"/>
        </w:rPr>
        <w:t>pur in presenza</w:t>
      </w:r>
      <w:r w:rsidRPr="00233B5B">
        <w:rPr>
          <w:rFonts w:eastAsia="Arial Unicode MS"/>
          <w:sz w:val="24"/>
        </w:rPr>
        <w:t xml:space="preserve"> di una lieve ripresa del </w:t>
      </w:r>
      <w:r w:rsidRPr="00233B5B">
        <w:rPr>
          <w:rFonts w:eastAsia="Arial Unicode MS"/>
          <w:bCs/>
          <w:sz w:val="24"/>
        </w:rPr>
        <w:t xml:space="preserve">mercato immobiliare (residenziale e non), che registra un +3,6% </w:t>
      </w:r>
      <w:r>
        <w:rPr>
          <w:rFonts w:eastAsia="Arial Unicode MS"/>
          <w:bCs/>
          <w:sz w:val="24"/>
        </w:rPr>
        <w:t xml:space="preserve">nelle compravendite </w:t>
      </w:r>
      <w:r w:rsidRPr="00233B5B">
        <w:rPr>
          <w:rFonts w:eastAsia="Arial Unicode MS"/>
          <w:bCs/>
          <w:sz w:val="24"/>
        </w:rPr>
        <w:t>sul 3° trimestre 2013</w:t>
      </w:r>
      <w:r w:rsidRPr="00233B5B">
        <w:rPr>
          <w:rFonts w:eastAsia="Arial Unicode MS"/>
          <w:sz w:val="24"/>
        </w:rPr>
        <w:t xml:space="preserve"> (dati OMI </w:t>
      </w:r>
      <w:r>
        <w:rPr>
          <w:rFonts w:eastAsia="Arial Unicode MS"/>
          <w:sz w:val="24"/>
        </w:rPr>
        <w:t xml:space="preserve">- </w:t>
      </w:r>
      <w:r w:rsidRPr="00233B5B">
        <w:rPr>
          <w:rFonts w:eastAsia="Arial Unicode MS"/>
          <w:sz w:val="24"/>
        </w:rPr>
        <w:t>Agenzia delle Entrate).</w:t>
      </w:r>
    </w:p>
    <w:p w:rsidR="0092414A" w:rsidRDefault="0092414A" w:rsidP="006411A5">
      <w:pPr>
        <w:spacing w:line="312" w:lineRule="auto"/>
        <w:ind w:firstLine="284"/>
        <w:rPr>
          <w:rFonts w:eastAsia="Arial Unicode MS"/>
          <w:sz w:val="24"/>
        </w:rPr>
      </w:pPr>
    </w:p>
    <w:p w:rsidR="000F4E4D" w:rsidRPr="00871542" w:rsidRDefault="000F4E4D" w:rsidP="006411A5">
      <w:pPr>
        <w:spacing w:line="312" w:lineRule="auto"/>
        <w:ind w:firstLine="284"/>
        <w:rPr>
          <w:rFonts w:eastAsia="Arial Unicode MS"/>
          <w:sz w:val="24"/>
        </w:rPr>
      </w:pPr>
      <w:r>
        <w:rPr>
          <w:rFonts w:eastAsia="Arial Unicode MS"/>
          <w:sz w:val="24"/>
        </w:rPr>
        <w:t xml:space="preserve">Ugualmente in Emilia-Romagna </w:t>
      </w:r>
      <w:r w:rsidRPr="00871542">
        <w:rPr>
          <w:rFonts w:eastAsia="Arial Unicode MS"/>
          <w:sz w:val="24"/>
        </w:rPr>
        <w:t>si registra una contrazione del volume d’affari tra le più ampie sperimentate e ben maggiore rispetto al trimestre precedente</w:t>
      </w:r>
      <w:r>
        <w:rPr>
          <w:rFonts w:eastAsia="Arial Unicode MS"/>
          <w:sz w:val="24"/>
        </w:rPr>
        <w:t>,</w:t>
      </w:r>
      <w:r w:rsidRPr="00616E1B">
        <w:rPr>
          <w:rFonts w:eastAsia="Arial Unicode MS"/>
          <w:sz w:val="24"/>
        </w:rPr>
        <w:t xml:space="preserve"> </w:t>
      </w:r>
      <w:r w:rsidRPr="00871542">
        <w:rPr>
          <w:rFonts w:eastAsia="Arial Unicode MS"/>
          <w:sz w:val="24"/>
        </w:rPr>
        <w:t xml:space="preserve">con l’unica consolazione </w:t>
      </w:r>
      <w:r>
        <w:rPr>
          <w:rFonts w:eastAsia="Arial Unicode MS"/>
          <w:sz w:val="24"/>
        </w:rPr>
        <w:t>di un</w:t>
      </w:r>
      <w:r w:rsidRPr="00871542">
        <w:rPr>
          <w:rFonts w:eastAsia="Arial Unicode MS"/>
          <w:sz w:val="24"/>
        </w:rPr>
        <w:t xml:space="preserve"> trend leggermente migliore </w:t>
      </w:r>
      <w:r>
        <w:rPr>
          <w:rFonts w:eastAsia="Arial Unicode MS"/>
          <w:sz w:val="24"/>
        </w:rPr>
        <w:t>rispetto al dato nazionale;</w:t>
      </w:r>
      <w:r w:rsidRPr="00871542">
        <w:rPr>
          <w:rFonts w:eastAsia="Arial Unicode MS"/>
          <w:sz w:val="24"/>
        </w:rPr>
        <w:t xml:space="preserve"> il peso della crisi e l’indisponibilità del credito </w:t>
      </w:r>
      <w:r>
        <w:rPr>
          <w:rFonts w:eastAsia="Arial Unicode MS"/>
          <w:sz w:val="24"/>
        </w:rPr>
        <w:t>rivela</w:t>
      </w:r>
      <w:r w:rsidRPr="00871542">
        <w:rPr>
          <w:rFonts w:eastAsia="Arial Unicode MS"/>
          <w:sz w:val="24"/>
        </w:rPr>
        <w:t xml:space="preserve"> un quadro preoccupante per le province </w:t>
      </w:r>
      <w:proofErr w:type="spellStart"/>
      <w:r w:rsidRPr="00871542">
        <w:rPr>
          <w:rFonts w:eastAsia="Arial Unicode MS"/>
          <w:sz w:val="24"/>
        </w:rPr>
        <w:t>emiliano-romagnole</w:t>
      </w:r>
      <w:proofErr w:type="spellEnd"/>
      <w:r>
        <w:rPr>
          <w:rFonts w:eastAsia="Arial Unicode MS"/>
          <w:sz w:val="24"/>
        </w:rPr>
        <w:t xml:space="preserve">, che risultano </w:t>
      </w:r>
      <w:r w:rsidRPr="00871542">
        <w:rPr>
          <w:rFonts w:eastAsia="Arial Unicode MS"/>
          <w:sz w:val="24"/>
        </w:rPr>
        <w:t xml:space="preserve">tutte con </w:t>
      </w:r>
      <w:r>
        <w:rPr>
          <w:rFonts w:eastAsia="Arial Unicode MS"/>
          <w:sz w:val="24"/>
        </w:rPr>
        <w:t>valori negativi nel settore edile.</w:t>
      </w:r>
    </w:p>
    <w:p w:rsidR="0092414A" w:rsidRDefault="0092414A" w:rsidP="00706678">
      <w:pPr>
        <w:spacing w:line="312" w:lineRule="auto"/>
        <w:ind w:firstLine="284"/>
        <w:rPr>
          <w:rFonts w:eastAsia="Arial Unicode MS"/>
          <w:sz w:val="24"/>
        </w:rPr>
      </w:pPr>
    </w:p>
    <w:p w:rsidR="000F4E4D" w:rsidRPr="00F81B1C" w:rsidRDefault="000F4E4D" w:rsidP="00706678">
      <w:pPr>
        <w:spacing w:line="312" w:lineRule="auto"/>
        <w:ind w:firstLine="284"/>
        <w:rPr>
          <w:rFonts w:eastAsia="Arial Unicode MS"/>
          <w:sz w:val="24"/>
        </w:rPr>
      </w:pPr>
      <w:r w:rsidRPr="00BC1274">
        <w:rPr>
          <w:rFonts w:eastAsia="Arial Unicode MS"/>
          <w:sz w:val="24"/>
        </w:rPr>
        <w:t xml:space="preserve">Al 30/09/2014 </w:t>
      </w:r>
      <w:r w:rsidRPr="00053B92">
        <w:rPr>
          <w:rFonts w:eastAsia="Arial Unicode MS"/>
          <w:sz w:val="24"/>
        </w:rPr>
        <w:t>in provincia di Rimini</w:t>
      </w:r>
      <w:r w:rsidRPr="00BC1274">
        <w:rPr>
          <w:rFonts w:eastAsia="Arial Unicode MS"/>
          <w:sz w:val="24"/>
        </w:rPr>
        <w:t xml:space="preserve"> la consistenza delle imprese attive </w:t>
      </w:r>
      <w:r>
        <w:rPr>
          <w:rFonts w:eastAsia="Arial Unicode MS"/>
          <w:sz w:val="24"/>
        </w:rPr>
        <w:t xml:space="preserve">nell’edilizia </w:t>
      </w:r>
      <w:r w:rsidRPr="00BC1274">
        <w:rPr>
          <w:rFonts w:eastAsia="Arial Unicode MS"/>
          <w:sz w:val="24"/>
        </w:rPr>
        <w:t xml:space="preserve">ammonta a 5.299 unità, con un calo del 3,5% rispetto </w:t>
      </w:r>
      <w:r>
        <w:rPr>
          <w:rFonts w:eastAsia="Arial Unicode MS"/>
          <w:sz w:val="24"/>
        </w:rPr>
        <w:t xml:space="preserve">a settembre </w:t>
      </w:r>
      <w:r w:rsidRPr="00BC1274">
        <w:rPr>
          <w:rFonts w:eastAsia="Arial Unicode MS"/>
          <w:sz w:val="24"/>
        </w:rPr>
        <w:t xml:space="preserve">2013, mentre nei primi nove mesi </w:t>
      </w:r>
      <w:r>
        <w:rPr>
          <w:rFonts w:eastAsia="Arial Unicode MS"/>
          <w:sz w:val="24"/>
        </w:rPr>
        <w:t>del 2014</w:t>
      </w:r>
      <w:r w:rsidRPr="00BC1274">
        <w:rPr>
          <w:rFonts w:eastAsia="Arial Unicode MS"/>
          <w:sz w:val="24"/>
        </w:rPr>
        <w:t xml:space="preserve"> le 398 cessazioni hanno superato le 233 iscrizioni, determinando un saldo nati-mortalità negativo (-165); sul versante occupazione, al 30/09/2014 gli addetti risultano 11.003, in diminuzione del 6,6% rispetto al 30/09/2013, mentre la cassa integrazione nel suo complesso, nel periodo gennaio-settembre 2014,</w:t>
      </w:r>
      <w:r>
        <w:rPr>
          <w:rFonts w:eastAsia="Arial Unicode MS"/>
          <w:sz w:val="24"/>
        </w:rPr>
        <w:t xml:space="preserve"> </w:t>
      </w:r>
      <w:r w:rsidRPr="00BC1274">
        <w:rPr>
          <w:rFonts w:eastAsia="Arial Unicode MS"/>
          <w:sz w:val="24"/>
        </w:rPr>
        <w:t>ha fatto registrare un -17,0% rispetto allo stesso periodo dell’anno precedente.</w:t>
      </w:r>
    </w:p>
    <w:p w:rsidR="000F4E4D" w:rsidRPr="00163510" w:rsidRDefault="000F4E4D" w:rsidP="00706678">
      <w:pPr>
        <w:spacing w:line="312" w:lineRule="auto"/>
        <w:ind w:firstLine="284"/>
        <w:rPr>
          <w:rFonts w:eastAsia="Arial Unicode MS"/>
          <w:sz w:val="24"/>
        </w:rPr>
      </w:pPr>
    </w:p>
    <w:p w:rsidR="000F4E4D" w:rsidRPr="00F81B1C" w:rsidRDefault="00163510" w:rsidP="00706678">
      <w:pPr>
        <w:spacing w:line="312" w:lineRule="auto"/>
        <w:ind w:firstLine="284"/>
        <w:rPr>
          <w:rStyle w:val="titoloscenarioer28pt"/>
          <w:sz w:val="24"/>
          <w:lang w:val="pl-PL"/>
        </w:rPr>
      </w:pPr>
      <w:r>
        <w:rPr>
          <w:rStyle w:val="titoloscenarioer28pt"/>
          <w:sz w:val="24"/>
          <w:lang w:val="pl-PL"/>
        </w:rPr>
        <w:br w:type="page"/>
      </w:r>
      <w:r w:rsidR="000F4E4D" w:rsidRPr="00F81B1C">
        <w:rPr>
          <w:rStyle w:val="titoloscenarioer28pt"/>
          <w:sz w:val="24"/>
          <w:lang w:val="pl-PL"/>
        </w:rPr>
        <w:lastRenderedPageBreak/>
        <w:t>R</w:t>
      </w:r>
      <w:r w:rsidR="000F4E4D">
        <w:rPr>
          <w:rStyle w:val="titoloscenarioer28pt"/>
          <w:sz w:val="24"/>
          <w:lang w:val="pl-PL"/>
        </w:rPr>
        <w:t>imini &gt; Dati consuntivi al 3</w:t>
      </w:r>
      <w:r w:rsidR="000F4E4D" w:rsidRPr="00F81B1C">
        <w:rPr>
          <w:rStyle w:val="titoloscenarioer28pt"/>
          <w:sz w:val="24"/>
          <w:lang w:val="pl-PL"/>
        </w:rPr>
        <w:t>° trimestre 2014</w:t>
      </w:r>
    </w:p>
    <w:p w:rsidR="000F4E4D" w:rsidRPr="00163510" w:rsidRDefault="000F4E4D" w:rsidP="00706678">
      <w:pPr>
        <w:spacing w:line="312" w:lineRule="auto"/>
        <w:ind w:firstLine="284"/>
        <w:rPr>
          <w:sz w:val="24"/>
        </w:rPr>
      </w:pPr>
    </w:p>
    <w:p w:rsidR="000F4E4D" w:rsidRPr="00E034F5" w:rsidRDefault="000F4E4D" w:rsidP="00F81B1C">
      <w:pPr>
        <w:spacing w:line="312" w:lineRule="auto"/>
        <w:ind w:firstLine="284"/>
        <w:rPr>
          <w:rStyle w:val="titoloscenarioer28pt"/>
          <w:b/>
          <w:sz w:val="24"/>
          <w:lang w:val="pl-PL"/>
        </w:rPr>
      </w:pPr>
      <w:r w:rsidRPr="00E034F5">
        <w:rPr>
          <w:rStyle w:val="titoloscenarioer28pt"/>
          <w:b/>
          <w:sz w:val="24"/>
          <w:lang w:val="pl-PL"/>
        </w:rPr>
        <w:t>- VOLUME D’AFFARI (FATTURATO)</w:t>
      </w:r>
    </w:p>
    <w:p w:rsidR="000F4E4D" w:rsidRPr="00163510" w:rsidRDefault="000F4E4D" w:rsidP="00706678">
      <w:pPr>
        <w:spacing w:line="312" w:lineRule="auto"/>
        <w:rPr>
          <w:color w:val="FF0000"/>
          <w:sz w:val="24"/>
        </w:rPr>
      </w:pPr>
    </w:p>
    <w:p w:rsidR="000F4E4D" w:rsidRDefault="000F4E4D" w:rsidP="0038259F">
      <w:pPr>
        <w:jc w:val="center"/>
        <w:rPr>
          <w:b/>
          <w:sz w:val="22"/>
          <w:szCs w:val="22"/>
          <w:bdr w:val="single" w:sz="4" w:space="0" w:color="auto"/>
        </w:rPr>
      </w:pPr>
      <w:r w:rsidRPr="00FD3D6C">
        <w:rPr>
          <w:b/>
          <w:sz w:val="22"/>
          <w:szCs w:val="22"/>
        </w:rPr>
        <w:t>Imprese Totali</w:t>
      </w:r>
      <w:r>
        <w:rPr>
          <w:b/>
          <w:sz w:val="22"/>
          <w:szCs w:val="22"/>
          <w:bdr w:val="single" w:sz="4" w:space="0" w:color="auto"/>
        </w:rPr>
        <w:t xml:space="preserve"> </w:t>
      </w:r>
    </w:p>
    <w:p w:rsidR="000F4E4D" w:rsidRPr="0063108F" w:rsidRDefault="000F4E4D" w:rsidP="00541787">
      <w:pPr>
        <w:spacing w:before="120"/>
        <w:jc w:val="center"/>
        <w:rPr>
          <w:b/>
          <w:sz w:val="22"/>
          <w:szCs w:val="22"/>
          <w:bdr w:val="single" w:sz="4" w:space="0" w:color="auto"/>
        </w:rPr>
      </w:pPr>
      <w:r>
        <w:rPr>
          <w:i/>
          <w:sz w:val="18"/>
          <w:szCs w:val="18"/>
        </w:rPr>
        <w:t>TAV. 13</w:t>
      </w:r>
    </w:p>
    <w:p w:rsidR="000F4E4D" w:rsidRPr="00661D65" w:rsidRDefault="00C379E0" w:rsidP="00661D65">
      <w:pPr>
        <w:spacing w:line="312" w:lineRule="auto"/>
        <w:jc w:val="center"/>
        <w:rPr>
          <w:color w:val="FF0000"/>
          <w:sz w:val="22"/>
          <w:szCs w:val="22"/>
        </w:rPr>
      </w:pPr>
      <w:r>
        <w:rPr>
          <w:noProof/>
        </w:rPr>
        <w:drawing>
          <wp:inline distT="0" distB="0" distL="0" distR="0">
            <wp:extent cx="3600450" cy="2181225"/>
            <wp:effectExtent l="0" t="0" r="0" b="0"/>
            <wp:docPr id="5"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31"/>
                    <a:srcRect/>
                    <a:stretch>
                      <a:fillRect/>
                    </a:stretch>
                  </pic:blipFill>
                  <pic:spPr bwMode="auto">
                    <a:xfrm>
                      <a:off x="0" y="0"/>
                      <a:ext cx="3600450" cy="2181225"/>
                    </a:xfrm>
                    <a:prstGeom prst="rect">
                      <a:avLst/>
                    </a:prstGeom>
                    <a:noFill/>
                    <a:ln w="9525">
                      <a:noFill/>
                      <a:miter lim="800000"/>
                      <a:headEnd/>
                      <a:tailEnd/>
                    </a:ln>
                  </pic:spPr>
                </pic:pic>
              </a:graphicData>
            </a:graphic>
          </wp:inline>
        </w:drawing>
      </w:r>
    </w:p>
    <w:p w:rsidR="00163510" w:rsidRDefault="00163510" w:rsidP="0038259F">
      <w:pPr>
        <w:jc w:val="center"/>
        <w:rPr>
          <w:b/>
          <w:sz w:val="22"/>
          <w:szCs w:val="22"/>
        </w:rPr>
      </w:pPr>
    </w:p>
    <w:p w:rsidR="000F4E4D" w:rsidRPr="002B78C6" w:rsidRDefault="000F4E4D" w:rsidP="0038259F">
      <w:pPr>
        <w:jc w:val="center"/>
        <w:rPr>
          <w:b/>
          <w:sz w:val="22"/>
          <w:szCs w:val="22"/>
        </w:rPr>
      </w:pPr>
      <w:r w:rsidRPr="00FD3D6C">
        <w:rPr>
          <w:b/>
          <w:sz w:val="22"/>
          <w:szCs w:val="22"/>
        </w:rPr>
        <w:t>Imprese Artigiane</w:t>
      </w:r>
    </w:p>
    <w:p w:rsidR="000F4E4D" w:rsidRPr="00111485" w:rsidRDefault="000F4E4D" w:rsidP="00541787">
      <w:pPr>
        <w:autoSpaceDE w:val="0"/>
        <w:autoSpaceDN w:val="0"/>
        <w:adjustRightInd w:val="0"/>
        <w:spacing w:before="120"/>
        <w:jc w:val="center"/>
        <w:rPr>
          <w:rFonts w:eastAsia="Arial Unicode MS"/>
          <w:sz w:val="22"/>
          <w:szCs w:val="22"/>
        </w:rPr>
      </w:pPr>
      <w:r>
        <w:rPr>
          <w:i/>
          <w:sz w:val="18"/>
          <w:szCs w:val="18"/>
        </w:rPr>
        <w:t>TAV. 14</w:t>
      </w:r>
    </w:p>
    <w:p w:rsidR="000F4E4D" w:rsidRPr="00661D65" w:rsidRDefault="00C379E0" w:rsidP="00BA1865">
      <w:pPr>
        <w:spacing w:line="312" w:lineRule="auto"/>
        <w:jc w:val="center"/>
        <w:rPr>
          <w:color w:val="FF0000"/>
          <w:sz w:val="22"/>
          <w:szCs w:val="22"/>
        </w:rPr>
      </w:pPr>
      <w:r>
        <w:rPr>
          <w:noProof/>
        </w:rPr>
        <w:drawing>
          <wp:inline distT="0" distB="0" distL="0" distR="0">
            <wp:extent cx="3590925" cy="2190750"/>
            <wp:effectExtent l="0" t="0" r="0" b="0"/>
            <wp:docPr id="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32"/>
                    <a:srcRect/>
                    <a:stretch>
                      <a:fillRect/>
                    </a:stretch>
                  </pic:blipFill>
                  <pic:spPr bwMode="auto">
                    <a:xfrm>
                      <a:off x="0" y="0"/>
                      <a:ext cx="3590925" cy="2190750"/>
                    </a:xfrm>
                    <a:prstGeom prst="rect">
                      <a:avLst/>
                    </a:prstGeom>
                    <a:noFill/>
                    <a:ln w="9525">
                      <a:noFill/>
                      <a:miter lim="800000"/>
                      <a:headEnd/>
                      <a:tailEnd/>
                    </a:ln>
                  </pic:spPr>
                </pic:pic>
              </a:graphicData>
            </a:graphic>
          </wp:inline>
        </w:drawing>
      </w:r>
    </w:p>
    <w:p w:rsidR="000F4E4D" w:rsidRDefault="000F4E4D" w:rsidP="00706678">
      <w:pPr>
        <w:spacing w:line="312" w:lineRule="auto"/>
        <w:ind w:firstLine="284"/>
        <w:rPr>
          <w:rFonts w:eastAsia="Arial Unicode MS"/>
          <w:sz w:val="24"/>
        </w:rPr>
      </w:pPr>
    </w:p>
    <w:p w:rsidR="000F4E4D" w:rsidRPr="00C742A2" w:rsidRDefault="000F4E4D" w:rsidP="00706678">
      <w:pPr>
        <w:spacing w:line="312" w:lineRule="auto"/>
        <w:ind w:firstLine="284"/>
        <w:rPr>
          <w:rFonts w:eastAsia="Arial Unicode MS"/>
          <w:sz w:val="24"/>
        </w:rPr>
      </w:pPr>
      <w:r w:rsidRPr="00C742A2">
        <w:rPr>
          <w:rFonts w:eastAsia="Arial Unicode MS"/>
          <w:sz w:val="24"/>
        </w:rPr>
        <w:t>Il fatturato mostra una diminuzione del 6,5% rispetto al 3° trimestre 2013, inferiore sia alla variazione che si registra in Emilia-Romagna (-6,7%) che a quella considerevole rilevata in Italia (-8,8%).</w:t>
      </w:r>
    </w:p>
    <w:p w:rsidR="000F4E4D" w:rsidRPr="00C742A2" w:rsidRDefault="000F4E4D" w:rsidP="00706678">
      <w:pPr>
        <w:spacing w:line="312" w:lineRule="auto"/>
        <w:ind w:firstLine="284"/>
        <w:rPr>
          <w:rFonts w:eastAsia="Arial Unicode MS"/>
          <w:sz w:val="24"/>
        </w:rPr>
      </w:pPr>
    </w:p>
    <w:p w:rsidR="000F4E4D" w:rsidRPr="00C742A2" w:rsidRDefault="000F4E4D" w:rsidP="00A71268">
      <w:pPr>
        <w:spacing w:line="312" w:lineRule="auto"/>
        <w:ind w:firstLine="284"/>
        <w:rPr>
          <w:rFonts w:eastAsia="Arial Unicode MS"/>
          <w:sz w:val="24"/>
        </w:rPr>
      </w:pPr>
      <w:r w:rsidRPr="00C742A2">
        <w:rPr>
          <w:rFonts w:eastAsia="Arial Unicode MS"/>
          <w:sz w:val="24"/>
        </w:rPr>
        <w:t xml:space="preserve">Analizzando la serie storica trimestrale degli ultimi due anni le uniche variazioni percentuali positive si osservano </w:t>
      </w:r>
      <w:r>
        <w:rPr>
          <w:rFonts w:eastAsia="Arial Unicode MS"/>
          <w:sz w:val="24"/>
        </w:rPr>
        <w:t>nell’ultimo</w:t>
      </w:r>
      <w:r w:rsidRPr="00C742A2">
        <w:rPr>
          <w:rFonts w:eastAsia="Arial Unicode MS"/>
          <w:sz w:val="24"/>
        </w:rPr>
        <w:t xml:space="preserve"> trimestre </w:t>
      </w:r>
      <w:r>
        <w:rPr>
          <w:rFonts w:eastAsia="Arial Unicode MS"/>
          <w:sz w:val="24"/>
        </w:rPr>
        <w:t xml:space="preserve">del </w:t>
      </w:r>
      <w:r w:rsidRPr="00C742A2">
        <w:rPr>
          <w:rFonts w:eastAsia="Arial Unicode MS"/>
          <w:sz w:val="24"/>
        </w:rPr>
        <w:t xml:space="preserve">2012 (+2,2%) e nel 3° trimestre 2013 (+1,9%); inoltre, considerando l’ultimo anno, la diminuzione del 3° trimestre 2014 risulta la più elevata. </w:t>
      </w:r>
    </w:p>
    <w:p w:rsidR="000F4E4D" w:rsidRPr="00BA7247" w:rsidRDefault="000F4E4D" w:rsidP="00706678">
      <w:pPr>
        <w:spacing w:line="312" w:lineRule="auto"/>
        <w:ind w:firstLine="284"/>
        <w:rPr>
          <w:rFonts w:eastAsia="Arial Unicode MS"/>
          <w:sz w:val="24"/>
          <w:highlight w:val="yellow"/>
        </w:rPr>
      </w:pPr>
    </w:p>
    <w:p w:rsidR="000F4E4D" w:rsidRPr="00D76A57" w:rsidRDefault="00163510" w:rsidP="00706678">
      <w:pPr>
        <w:spacing w:line="312" w:lineRule="auto"/>
        <w:ind w:firstLine="284"/>
        <w:rPr>
          <w:rFonts w:eastAsia="Arial Unicode MS"/>
          <w:sz w:val="24"/>
        </w:rPr>
      </w:pPr>
      <w:r>
        <w:rPr>
          <w:rFonts w:eastAsia="Arial Unicode MS"/>
          <w:sz w:val="24"/>
        </w:rPr>
        <w:br w:type="page"/>
      </w:r>
      <w:r w:rsidR="000F4E4D" w:rsidRPr="00D76A57">
        <w:rPr>
          <w:rFonts w:eastAsia="Arial Unicode MS"/>
          <w:sz w:val="24"/>
        </w:rPr>
        <w:lastRenderedPageBreak/>
        <w:t xml:space="preserve">Rispetto al 2° trimestre 2014 purtroppo nessuna delle imprese ha riscontrato un aumento del fatturato, il </w:t>
      </w:r>
      <w:r w:rsidR="000F4E4D">
        <w:rPr>
          <w:rFonts w:eastAsia="Arial Unicode MS"/>
          <w:sz w:val="24"/>
        </w:rPr>
        <w:t>65</w:t>
      </w:r>
      <w:r w:rsidR="000F4E4D" w:rsidRPr="00D76A57">
        <w:rPr>
          <w:rFonts w:eastAsia="Arial Unicode MS"/>
          <w:sz w:val="24"/>
        </w:rPr>
        <w:t xml:space="preserve">% </w:t>
      </w:r>
      <w:r w:rsidR="000F4E4D">
        <w:rPr>
          <w:rFonts w:eastAsia="Arial Unicode MS"/>
          <w:sz w:val="24"/>
        </w:rPr>
        <w:t xml:space="preserve">circa </w:t>
      </w:r>
      <w:r w:rsidR="000F4E4D" w:rsidRPr="00D76A57">
        <w:rPr>
          <w:rFonts w:eastAsia="Arial Unicode MS"/>
          <w:sz w:val="24"/>
        </w:rPr>
        <w:t xml:space="preserve">non ha subito variazioni </w:t>
      </w:r>
      <w:r w:rsidR="000F4E4D">
        <w:rPr>
          <w:rFonts w:eastAsia="Arial Unicode MS"/>
          <w:sz w:val="24"/>
        </w:rPr>
        <w:t xml:space="preserve">e </w:t>
      </w:r>
      <w:r w:rsidR="000F4E4D" w:rsidRPr="00D76A57">
        <w:rPr>
          <w:rFonts w:eastAsia="Arial Unicode MS"/>
          <w:sz w:val="24"/>
        </w:rPr>
        <w:t xml:space="preserve">il </w:t>
      </w:r>
      <w:r w:rsidR="000F4E4D">
        <w:rPr>
          <w:rFonts w:eastAsia="Arial Unicode MS"/>
          <w:sz w:val="24"/>
        </w:rPr>
        <w:t>35</w:t>
      </w:r>
      <w:r w:rsidR="000F4E4D" w:rsidRPr="00D76A57">
        <w:rPr>
          <w:rFonts w:eastAsia="Arial Unicode MS"/>
          <w:sz w:val="24"/>
        </w:rPr>
        <w:t>% una diminuzione. In Emilia-Romagn</w:t>
      </w:r>
      <w:r w:rsidR="000F4E4D">
        <w:rPr>
          <w:rFonts w:eastAsia="Arial Unicode MS"/>
          <w:sz w:val="24"/>
        </w:rPr>
        <w:t>a tali valori si attestano a 7% in aumento, 57% stabilità e</w:t>
      </w:r>
      <w:r w:rsidR="000F4E4D" w:rsidRPr="00D76A57">
        <w:rPr>
          <w:rFonts w:eastAsia="Arial Unicode MS"/>
          <w:sz w:val="24"/>
        </w:rPr>
        <w:t xml:space="preserve"> </w:t>
      </w:r>
      <w:r w:rsidR="000F4E4D">
        <w:rPr>
          <w:rFonts w:eastAsia="Arial Unicode MS"/>
          <w:sz w:val="24"/>
        </w:rPr>
        <w:t>36</w:t>
      </w:r>
      <w:r w:rsidR="000F4E4D" w:rsidRPr="00D76A57">
        <w:rPr>
          <w:rFonts w:eastAsia="Arial Unicode MS"/>
          <w:sz w:val="24"/>
        </w:rPr>
        <w:t xml:space="preserve">% in diminuzione, mentre in Italia il </w:t>
      </w:r>
      <w:r w:rsidR="000F4E4D">
        <w:rPr>
          <w:rFonts w:eastAsia="Arial Unicode MS"/>
          <w:sz w:val="24"/>
        </w:rPr>
        <w:t>15</w:t>
      </w:r>
      <w:r w:rsidR="000F4E4D" w:rsidRPr="00D76A57">
        <w:rPr>
          <w:rFonts w:eastAsia="Arial Unicode MS"/>
          <w:sz w:val="24"/>
        </w:rPr>
        <w:t xml:space="preserve">% delle imprese dichiara un aumento del volume d’affari, il </w:t>
      </w:r>
      <w:r w:rsidR="000F4E4D">
        <w:rPr>
          <w:rFonts w:eastAsia="Arial Unicode MS"/>
          <w:sz w:val="24"/>
        </w:rPr>
        <w:t>38% stabilità e</w:t>
      </w:r>
      <w:r w:rsidR="000F4E4D" w:rsidRPr="00D76A57">
        <w:rPr>
          <w:rFonts w:eastAsia="Arial Unicode MS"/>
          <w:sz w:val="24"/>
        </w:rPr>
        <w:t xml:space="preserve"> il </w:t>
      </w:r>
      <w:r w:rsidR="000F4E4D">
        <w:rPr>
          <w:rFonts w:eastAsia="Arial Unicode MS"/>
          <w:sz w:val="24"/>
        </w:rPr>
        <w:t>47</w:t>
      </w:r>
      <w:r w:rsidR="000F4E4D" w:rsidRPr="00D76A57">
        <w:rPr>
          <w:rFonts w:eastAsia="Arial Unicode MS"/>
          <w:sz w:val="24"/>
        </w:rPr>
        <w:t>% una diminuzione.</w:t>
      </w:r>
    </w:p>
    <w:p w:rsidR="000F4E4D" w:rsidRPr="00BA7247" w:rsidRDefault="000F4E4D" w:rsidP="00706678">
      <w:pPr>
        <w:spacing w:line="312" w:lineRule="auto"/>
        <w:ind w:firstLine="284"/>
        <w:rPr>
          <w:rFonts w:eastAsia="Arial Unicode MS"/>
          <w:sz w:val="24"/>
          <w:highlight w:val="yellow"/>
        </w:rPr>
      </w:pPr>
    </w:p>
    <w:p w:rsidR="000F4E4D" w:rsidRPr="00D76A57" w:rsidRDefault="000F4E4D" w:rsidP="00706678">
      <w:pPr>
        <w:spacing w:line="312" w:lineRule="auto"/>
        <w:ind w:firstLine="284"/>
        <w:rPr>
          <w:rFonts w:eastAsia="Arial Unicode MS"/>
          <w:sz w:val="24"/>
        </w:rPr>
      </w:pPr>
      <w:r w:rsidRPr="00D76A57">
        <w:rPr>
          <w:rFonts w:eastAsia="Arial Unicode MS"/>
          <w:sz w:val="24"/>
        </w:rPr>
        <w:t xml:space="preserve">La situazione per le imprese artigiane è simile a quella della totalità delle imprese: </w:t>
      </w:r>
      <w:r w:rsidRPr="00D76A57">
        <w:rPr>
          <w:rFonts w:eastAsia="Arial Unicode MS"/>
          <w:sz w:val="24"/>
        </w:rPr>
        <w:br/>
        <w:t>-6,6% rispetto al 3° trimestre 2013. Anche a livello regionale si riscontra una contrazione, seppur minore, pari a -5,0%.</w:t>
      </w:r>
    </w:p>
    <w:p w:rsidR="000F4E4D" w:rsidRPr="00BA7247" w:rsidRDefault="000F4E4D" w:rsidP="00706678">
      <w:pPr>
        <w:spacing w:line="312" w:lineRule="auto"/>
        <w:ind w:firstLine="284"/>
        <w:rPr>
          <w:rFonts w:eastAsia="Arial Unicode MS"/>
          <w:sz w:val="24"/>
          <w:highlight w:val="yellow"/>
        </w:rPr>
      </w:pPr>
    </w:p>
    <w:p w:rsidR="000F4E4D" w:rsidRPr="00CA799E" w:rsidRDefault="000F4E4D" w:rsidP="00706678">
      <w:pPr>
        <w:spacing w:line="312" w:lineRule="auto"/>
        <w:ind w:firstLine="284"/>
        <w:rPr>
          <w:rFonts w:eastAsia="Arial Unicode MS"/>
          <w:sz w:val="24"/>
        </w:rPr>
      </w:pPr>
      <w:r w:rsidRPr="003F39E2">
        <w:rPr>
          <w:rFonts w:eastAsia="Arial Unicode MS"/>
          <w:sz w:val="24"/>
        </w:rPr>
        <w:t xml:space="preserve">Rispetto al trimestre precedente, anche in questo caso nessuna impresa artigiana dichiara un aumento del fatturato, </w:t>
      </w:r>
      <w:r>
        <w:rPr>
          <w:rFonts w:eastAsia="Arial Unicode MS"/>
          <w:sz w:val="24"/>
        </w:rPr>
        <w:t>quasi il 55</w:t>
      </w:r>
      <w:r w:rsidRPr="003F39E2">
        <w:rPr>
          <w:rFonts w:eastAsia="Arial Unicode MS"/>
          <w:sz w:val="24"/>
        </w:rPr>
        <w:t>% stabilità</w:t>
      </w:r>
      <w:r>
        <w:rPr>
          <w:rFonts w:eastAsia="Arial Unicode MS"/>
          <w:sz w:val="24"/>
        </w:rPr>
        <w:t>,</w:t>
      </w:r>
      <w:r w:rsidRPr="003F39E2">
        <w:rPr>
          <w:rFonts w:eastAsia="Arial Unicode MS"/>
          <w:sz w:val="24"/>
        </w:rPr>
        <w:t xml:space="preserve"> mentre </w:t>
      </w:r>
      <w:r>
        <w:rPr>
          <w:rFonts w:eastAsia="Arial Unicode MS"/>
          <w:sz w:val="24"/>
        </w:rPr>
        <w:t>il 45</w:t>
      </w:r>
      <w:r w:rsidRPr="003F39E2">
        <w:rPr>
          <w:rFonts w:eastAsia="Arial Unicode MS"/>
          <w:sz w:val="24"/>
        </w:rPr>
        <w:t xml:space="preserve">% </w:t>
      </w:r>
      <w:r>
        <w:rPr>
          <w:rFonts w:eastAsia="Arial Unicode MS"/>
          <w:sz w:val="24"/>
        </w:rPr>
        <w:t>registra una diminuzione</w:t>
      </w:r>
      <w:r w:rsidRPr="003F39E2">
        <w:rPr>
          <w:rFonts w:eastAsia="Arial Unicode MS"/>
          <w:sz w:val="24"/>
        </w:rPr>
        <w:t>. Confrontando questi valori con quelli regionali si risc</w:t>
      </w:r>
      <w:r>
        <w:rPr>
          <w:rFonts w:eastAsia="Arial Unicode MS"/>
          <w:sz w:val="24"/>
        </w:rPr>
        <w:t>ontrano evidenti differenze: 4% in aumento, 61% stabilità, 35</w:t>
      </w:r>
      <w:r w:rsidRPr="003F39E2">
        <w:rPr>
          <w:rFonts w:eastAsia="Arial Unicode MS"/>
          <w:sz w:val="24"/>
        </w:rPr>
        <w:t>% in diminuzione.</w:t>
      </w:r>
    </w:p>
    <w:p w:rsidR="000F4E4D" w:rsidRPr="00CA799E" w:rsidRDefault="000F4E4D" w:rsidP="00706678">
      <w:pPr>
        <w:spacing w:line="312" w:lineRule="auto"/>
        <w:ind w:firstLine="284"/>
        <w:rPr>
          <w:rFonts w:eastAsia="Arial Unicode MS"/>
          <w:sz w:val="24"/>
        </w:rPr>
      </w:pPr>
    </w:p>
    <w:p w:rsidR="000F4E4D" w:rsidRPr="004E03DF" w:rsidRDefault="000F4E4D" w:rsidP="00F81B1C">
      <w:pPr>
        <w:spacing w:line="312" w:lineRule="auto"/>
        <w:ind w:firstLine="284"/>
        <w:rPr>
          <w:rStyle w:val="titoloscenarioer28pt"/>
          <w:b/>
          <w:sz w:val="24"/>
        </w:rPr>
      </w:pPr>
      <w:r w:rsidRPr="004E03DF">
        <w:rPr>
          <w:rStyle w:val="titoloscenarioer28pt"/>
          <w:b/>
          <w:sz w:val="24"/>
        </w:rPr>
        <w:t>- PRODUZIONE</w:t>
      </w:r>
    </w:p>
    <w:p w:rsidR="000F4E4D" w:rsidRPr="00CA799E" w:rsidRDefault="000F4E4D" w:rsidP="00706678">
      <w:pPr>
        <w:spacing w:line="312" w:lineRule="auto"/>
        <w:rPr>
          <w:rFonts w:eastAsia="Arial Unicode MS"/>
          <w:sz w:val="24"/>
        </w:rPr>
      </w:pPr>
    </w:p>
    <w:p w:rsidR="000F4E4D" w:rsidRPr="00C97438" w:rsidRDefault="000F4E4D" w:rsidP="00BB1D1A">
      <w:pPr>
        <w:spacing w:line="312" w:lineRule="auto"/>
        <w:ind w:firstLine="284"/>
        <w:rPr>
          <w:rFonts w:eastAsia="Arial Unicode MS"/>
          <w:sz w:val="24"/>
        </w:rPr>
      </w:pPr>
      <w:r w:rsidRPr="00C97438">
        <w:rPr>
          <w:rFonts w:eastAsia="Arial Unicode MS"/>
          <w:sz w:val="24"/>
        </w:rPr>
        <w:t xml:space="preserve">Raffrontando il 3° trimestre 2014 col precedente, risulta che nessuna delle imprese ha riscontrato un aumento della produzione, </w:t>
      </w:r>
      <w:r>
        <w:rPr>
          <w:rFonts w:eastAsia="Arial Unicode MS"/>
          <w:sz w:val="24"/>
        </w:rPr>
        <w:t>quasi il 43</w:t>
      </w:r>
      <w:r w:rsidRPr="00C97438">
        <w:rPr>
          <w:rFonts w:eastAsia="Arial Unicode MS"/>
          <w:sz w:val="24"/>
        </w:rPr>
        <w:t>% non ha subito variazioni</w:t>
      </w:r>
      <w:r>
        <w:rPr>
          <w:rFonts w:eastAsia="Arial Unicode MS"/>
          <w:sz w:val="24"/>
        </w:rPr>
        <w:t>,</w:t>
      </w:r>
      <w:r w:rsidRPr="00C97438">
        <w:rPr>
          <w:rFonts w:eastAsia="Arial Unicode MS"/>
          <w:sz w:val="24"/>
        </w:rPr>
        <w:t xml:space="preserve"> </w:t>
      </w:r>
      <w:r>
        <w:rPr>
          <w:rFonts w:eastAsia="Arial Unicode MS"/>
          <w:sz w:val="24"/>
        </w:rPr>
        <w:t>il 57</w:t>
      </w:r>
      <w:r w:rsidRPr="00C97438">
        <w:rPr>
          <w:rFonts w:eastAsia="Arial Unicode MS"/>
          <w:sz w:val="24"/>
        </w:rPr>
        <w:t>% una diminuzione. Per i due ambiti territoriali di confronto i</w:t>
      </w:r>
      <w:r>
        <w:rPr>
          <w:rFonts w:eastAsia="Arial Unicode MS"/>
          <w:sz w:val="24"/>
        </w:rPr>
        <w:t xml:space="preserve"> valori sono: Emilia-Romagna 3% in aumento, 47</w:t>
      </w:r>
      <w:r w:rsidRPr="00C97438">
        <w:rPr>
          <w:rFonts w:eastAsia="Arial Unicode MS"/>
          <w:sz w:val="24"/>
        </w:rPr>
        <w:t>% stabilità, 50</w:t>
      </w:r>
      <w:r>
        <w:rPr>
          <w:rFonts w:eastAsia="Arial Unicode MS"/>
          <w:sz w:val="24"/>
        </w:rPr>
        <w:t>% in diminuzione; Italia 7% in aumento, 41% stabilità, 52</w:t>
      </w:r>
      <w:r w:rsidRPr="00C97438">
        <w:rPr>
          <w:rFonts w:eastAsia="Arial Unicode MS"/>
          <w:sz w:val="24"/>
        </w:rPr>
        <w:t>% in diminuzione.</w:t>
      </w:r>
    </w:p>
    <w:p w:rsidR="000F4E4D" w:rsidRPr="00BA7247" w:rsidRDefault="000F4E4D" w:rsidP="00BB1D1A">
      <w:pPr>
        <w:spacing w:line="312" w:lineRule="auto"/>
        <w:ind w:firstLine="284"/>
        <w:rPr>
          <w:rFonts w:eastAsia="Arial Unicode MS"/>
          <w:sz w:val="24"/>
          <w:highlight w:val="yellow"/>
        </w:rPr>
      </w:pPr>
    </w:p>
    <w:p w:rsidR="000F4E4D" w:rsidRPr="00CA799E" w:rsidRDefault="000F4E4D" w:rsidP="00BB1D1A">
      <w:pPr>
        <w:spacing w:line="312" w:lineRule="auto"/>
        <w:ind w:firstLine="284"/>
        <w:rPr>
          <w:rFonts w:eastAsia="Arial Unicode MS"/>
          <w:sz w:val="24"/>
        </w:rPr>
      </w:pPr>
      <w:r w:rsidRPr="00C97438">
        <w:rPr>
          <w:rFonts w:eastAsia="Arial Unicode MS"/>
          <w:sz w:val="24"/>
        </w:rPr>
        <w:t>Rispetto al trimestre trascorso</w:t>
      </w:r>
      <w:r>
        <w:rPr>
          <w:rFonts w:eastAsia="Arial Unicode MS"/>
          <w:sz w:val="24"/>
        </w:rPr>
        <w:t>, come nelle analisi precedenti, n</w:t>
      </w:r>
      <w:r w:rsidRPr="00C97438">
        <w:rPr>
          <w:rFonts w:eastAsia="Arial Unicode MS"/>
          <w:sz w:val="24"/>
        </w:rPr>
        <w:t xml:space="preserve">essuna delle imprese artigiane </w:t>
      </w:r>
      <w:r>
        <w:rPr>
          <w:rFonts w:eastAsia="Arial Unicode MS"/>
          <w:sz w:val="24"/>
        </w:rPr>
        <w:t>dichiara</w:t>
      </w:r>
      <w:r w:rsidRPr="00C97438">
        <w:rPr>
          <w:rFonts w:eastAsia="Arial Unicode MS"/>
          <w:sz w:val="24"/>
        </w:rPr>
        <w:t xml:space="preserve"> un aumento</w:t>
      </w:r>
      <w:r>
        <w:rPr>
          <w:rFonts w:eastAsia="Arial Unicode MS"/>
          <w:sz w:val="24"/>
        </w:rPr>
        <w:t xml:space="preserve"> e quelle che non hanno registrato variazioni sono quasi il 42%, mentre quelle che affermano di avere avuto una diminuzione della produzione sono il 58%</w:t>
      </w:r>
      <w:r w:rsidRPr="00C97438">
        <w:rPr>
          <w:rFonts w:eastAsia="Arial Unicode MS"/>
          <w:sz w:val="24"/>
        </w:rPr>
        <w:t>. In Emilia-Romagna si riscontra</w:t>
      </w:r>
      <w:r>
        <w:rPr>
          <w:rFonts w:eastAsia="Arial Unicode MS"/>
          <w:sz w:val="24"/>
        </w:rPr>
        <w:t>no invece i seguenti valori: 1% in aumento, 50% stabilità, 49</w:t>
      </w:r>
      <w:r w:rsidRPr="00C97438">
        <w:rPr>
          <w:rFonts w:eastAsia="Arial Unicode MS"/>
          <w:sz w:val="24"/>
        </w:rPr>
        <w:t>% in diminuzione.</w:t>
      </w:r>
    </w:p>
    <w:p w:rsidR="000F4E4D" w:rsidRPr="00CA799E" w:rsidRDefault="000F4E4D" w:rsidP="00CA799E">
      <w:pPr>
        <w:spacing w:line="312" w:lineRule="auto"/>
        <w:rPr>
          <w:rFonts w:eastAsia="Arial Unicode M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0F4E4D" w:rsidRPr="00CA799E" w:rsidTr="004C13A5">
        <w:trPr>
          <w:trHeight w:val="1608"/>
        </w:trPr>
        <w:tc>
          <w:tcPr>
            <w:tcW w:w="9778" w:type="dxa"/>
          </w:tcPr>
          <w:p w:rsidR="000F4E4D" w:rsidRPr="004C13A5" w:rsidRDefault="000F4E4D" w:rsidP="004C13A5">
            <w:pPr>
              <w:spacing w:line="312" w:lineRule="auto"/>
              <w:rPr>
                <w:rFonts w:eastAsia="Arial Unicode MS"/>
                <w:sz w:val="24"/>
              </w:rPr>
            </w:pPr>
          </w:p>
          <w:p w:rsidR="000F4E4D" w:rsidRPr="004C13A5" w:rsidRDefault="000F4E4D" w:rsidP="004C13A5">
            <w:pPr>
              <w:numPr>
                <w:ilvl w:val="0"/>
                <w:numId w:val="13"/>
              </w:numPr>
              <w:spacing w:line="312" w:lineRule="auto"/>
              <w:rPr>
                <w:rFonts w:eastAsia="Arial Unicode MS"/>
                <w:sz w:val="24"/>
              </w:rPr>
            </w:pPr>
            <w:r w:rsidRPr="004C13A5">
              <w:rPr>
                <w:rFonts w:eastAsia="Arial Unicode MS"/>
                <w:sz w:val="24"/>
              </w:rPr>
              <w:t>Il fatturato provinciale del settore edile è in calo, ma in misura più contenuta sia rispetto al calo regionale che nazionale;</w:t>
            </w:r>
          </w:p>
          <w:p w:rsidR="000F4E4D" w:rsidRPr="004C13A5" w:rsidRDefault="000F4E4D" w:rsidP="004C13A5">
            <w:pPr>
              <w:numPr>
                <w:ilvl w:val="0"/>
                <w:numId w:val="13"/>
              </w:numPr>
              <w:spacing w:line="312" w:lineRule="auto"/>
              <w:rPr>
                <w:rFonts w:eastAsia="Arial Unicode MS"/>
                <w:sz w:val="24"/>
              </w:rPr>
            </w:pPr>
            <w:r w:rsidRPr="004C13A5">
              <w:rPr>
                <w:rFonts w:eastAsia="Arial Unicode MS"/>
                <w:sz w:val="24"/>
              </w:rPr>
              <w:t>la condizione delle imprese artigiane non si discosta da quella delle altre imprese.</w:t>
            </w:r>
          </w:p>
          <w:p w:rsidR="000F4E4D" w:rsidRPr="004C13A5" w:rsidRDefault="000F4E4D" w:rsidP="004C13A5">
            <w:pPr>
              <w:spacing w:line="312" w:lineRule="auto"/>
              <w:rPr>
                <w:rFonts w:eastAsia="Arial Unicode MS"/>
                <w:sz w:val="24"/>
              </w:rPr>
            </w:pPr>
          </w:p>
        </w:tc>
      </w:tr>
    </w:tbl>
    <w:p w:rsidR="000F4E4D" w:rsidRPr="00111485" w:rsidRDefault="000F4E4D" w:rsidP="00706678">
      <w:pPr>
        <w:spacing w:line="312" w:lineRule="auto"/>
        <w:ind w:firstLine="284"/>
        <w:rPr>
          <w:sz w:val="22"/>
          <w:szCs w:val="22"/>
        </w:rPr>
      </w:pPr>
    </w:p>
    <w:p w:rsidR="000F4E4D" w:rsidRPr="00CA799E" w:rsidRDefault="000F4E4D" w:rsidP="00163510">
      <w:pPr>
        <w:spacing w:line="312" w:lineRule="auto"/>
        <w:ind w:firstLine="284"/>
        <w:rPr>
          <w:rFonts w:eastAsia="Arial Unicode MS"/>
          <w:sz w:val="24"/>
        </w:rPr>
      </w:pPr>
      <w:r w:rsidRPr="00EA48E6">
        <w:rPr>
          <w:rFonts w:eastAsia="Arial Unicode MS"/>
          <w:sz w:val="24"/>
        </w:rPr>
        <w:t>Per</w:t>
      </w:r>
      <w:r>
        <w:rPr>
          <w:rFonts w:eastAsia="Arial Unicode MS"/>
          <w:sz w:val="24"/>
        </w:rPr>
        <w:t xml:space="preserve"> quanto riguarda le previsioni per</w:t>
      </w:r>
      <w:r w:rsidRPr="00EA48E6">
        <w:rPr>
          <w:rFonts w:eastAsia="Arial Unicode MS"/>
          <w:sz w:val="24"/>
        </w:rPr>
        <w:t xml:space="preserve"> </w:t>
      </w:r>
      <w:r>
        <w:rPr>
          <w:rFonts w:eastAsia="Arial Unicode MS"/>
          <w:sz w:val="24"/>
        </w:rPr>
        <w:t>l’ultimo</w:t>
      </w:r>
      <w:r w:rsidRPr="00EA48E6">
        <w:rPr>
          <w:rFonts w:eastAsia="Arial Unicode MS"/>
          <w:sz w:val="24"/>
        </w:rPr>
        <w:t xml:space="preserve"> trimestre </w:t>
      </w:r>
      <w:r>
        <w:rPr>
          <w:rFonts w:eastAsia="Arial Unicode MS"/>
          <w:sz w:val="24"/>
        </w:rPr>
        <w:t>del 2014</w:t>
      </w:r>
      <w:r w:rsidRPr="00EA48E6">
        <w:rPr>
          <w:rFonts w:eastAsia="Arial Unicode MS"/>
          <w:sz w:val="24"/>
        </w:rPr>
        <w:t xml:space="preserve"> </w:t>
      </w:r>
      <w:r w:rsidRPr="00985365">
        <w:rPr>
          <w:rFonts w:eastAsia="Arial Unicode MS"/>
          <w:sz w:val="24"/>
        </w:rPr>
        <w:t>la m</w:t>
      </w:r>
      <w:r>
        <w:rPr>
          <w:rFonts w:eastAsia="Arial Unicode MS"/>
          <w:sz w:val="24"/>
        </w:rPr>
        <w:t>aggior parte delle imprese (66</w:t>
      </w:r>
      <w:r w:rsidRPr="00985365">
        <w:rPr>
          <w:rFonts w:eastAsia="Arial Unicode MS"/>
          <w:sz w:val="24"/>
        </w:rPr>
        <w:t>%</w:t>
      </w:r>
      <w:r>
        <w:rPr>
          <w:rFonts w:eastAsia="Arial Unicode MS"/>
          <w:sz w:val="24"/>
        </w:rPr>
        <w:t xml:space="preserve"> circa</w:t>
      </w:r>
      <w:r w:rsidRPr="00985365">
        <w:rPr>
          <w:rFonts w:eastAsia="Arial Unicode MS"/>
          <w:sz w:val="24"/>
        </w:rPr>
        <w:t>) si attende stabilità dei livelli di fatturato</w:t>
      </w:r>
      <w:r>
        <w:rPr>
          <w:rFonts w:eastAsia="Arial Unicode MS"/>
          <w:sz w:val="24"/>
        </w:rPr>
        <w:t>, mentre il 24</w:t>
      </w:r>
      <w:r w:rsidRPr="00985365">
        <w:rPr>
          <w:rFonts w:eastAsia="Arial Unicode MS"/>
          <w:sz w:val="24"/>
        </w:rPr>
        <w:t xml:space="preserve">% una diminuzione </w:t>
      </w:r>
      <w:r>
        <w:rPr>
          <w:rFonts w:eastAsia="Arial Unicode MS"/>
          <w:sz w:val="24"/>
        </w:rPr>
        <w:t>e il 10</w:t>
      </w:r>
      <w:r w:rsidRPr="00985365">
        <w:rPr>
          <w:rFonts w:eastAsia="Arial Unicode MS"/>
          <w:sz w:val="24"/>
        </w:rPr>
        <w:t>% prevede un aume</w:t>
      </w:r>
      <w:r>
        <w:rPr>
          <w:rFonts w:eastAsia="Arial Unicode MS"/>
          <w:sz w:val="24"/>
        </w:rPr>
        <w:t>nto</w:t>
      </w:r>
      <w:r w:rsidRPr="00985365">
        <w:rPr>
          <w:rFonts w:eastAsia="Arial Unicode MS"/>
          <w:sz w:val="24"/>
        </w:rPr>
        <w:t>; per le imprese artigian</w:t>
      </w:r>
      <w:r>
        <w:rPr>
          <w:rFonts w:eastAsia="Arial Unicode MS"/>
          <w:sz w:val="24"/>
        </w:rPr>
        <w:t>e i valori sono i seguenti: 14% in aumento, 62% stabilità e 24</w:t>
      </w:r>
      <w:r w:rsidRPr="00985365">
        <w:rPr>
          <w:rFonts w:eastAsia="Arial Unicode MS"/>
          <w:sz w:val="24"/>
        </w:rPr>
        <w:t>% diminuzione.</w:t>
      </w:r>
    </w:p>
    <w:p w:rsidR="000F4E4D" w:rsidRDefault="000F4E4D" w:rsidP="00706678">
      <w:pPr>
        <w:rPr>
          <w:b/>
          <w:color w:val="FF0000"/>
        </w:rPr>
      </w:pPr>
    </w:p>
    <w:p w:rsidR="000F4E4D" w:rsidRDefault="00163510" w:rsidP="0038259F">
      <w:pPr>
        <w:jc w:val="center"/>
        <w:rPr>
          <w:i/>
          <w:sz w:val="18"/>
          <w:szCs w:val="18"/>
        </w:rPr>
      </w:pPr>
      <w:r>
        <w:rPr>
          <w:b/>
          <w:sz w:val="22"/>
          <w:szCs w:val="22"/>
        </w:rPr>
        <w:br w:type="page"/>
      </w:r>
      <w:r w:rsidR="000F4E4D" w:rsidRPr="00FD3D6C">
        <w:rPr>
          <w:b/>
          <w:sz w:val="22"/>
          <w:szCs w:val="22"/>
        </w:rPr>
        <w:lastRenderedPageBreak/>
        <w:t>IMPRESE EDILI TOTALI</w:t>
      </w:r>
    </w:p>
    <w:p w:rsidR="000F4E4D" w:rsidRPr="00EC1A9C" w:rsidRDefault="000F4E4D" w:rsidP="0038259F">
      <w:pPr>
        <w:jc w:val="center"/>
        <w:rPr>
          <w:b/>
          <w:sz w:val="22"/>
          <w:szCs w:val="22"/>
        </w:rPr>
      </w:pPr>
      <w:r w:rsidRPr="00EC1A9C">
        <w:rPr>
          <w:b/>
          <w:sz w:val="22"/>
          <w:szCs w:val="22"/>
        </w:rPr>
        <w:t>negli ultimi 6 anni</w:t>
      </w:r>
    </w:p>
    <w:p w:rsidR="000F4E4D" w:rsidRDefault="000F4E4D" w:rsidP="00682044">
      <w:pPr>
        <w:spacing w:before="120"/>
        <w:jc w:val="center"/>
        <w:rPr>
          <w:b/>
          <w:sz w:val="22"/>
          <w:szCs w:val="22"/>
          <w:bdr w:val="single" w:sz="4" w:space="0" w:color="auto"/>
        </w:rPr>
      </w:pPr>
      <w:r>
        <w:rPr>
          <w:i/>
          <w:sz w:val="18"/>
          <w:szCs w:val="18"/>
        </w:rPr>
        <w:t>TAV. 15</w:t>
      </w:r>
    </w:p>
    <w:p w:rsidR="000F4E4D" w:rsidRPr="006A31F4" w:rsidRDefault="000F4E4D" w:rsidP="00706678">
      <w:pPr>
        <w:jc w:val="center"/>
        <w:rPr>
          <w:b/>
          <w:sz w:val="16"/>
          <w:szCs w:val="16"/>
        </w:rPr>
      </w:pPr>
    </w:p>
    <w:p w:rsidR="000F4E4D" w:rsidRPr="00BC0945" w:rsidRDefault="00C379E0" w:rsidP="00706678">
      <w:pPr>
        <w:jc w:val="center"/>
        <w:rPr>
          <w:b/>
          <w:color w:val="0000FF"/>
        </w:rPr>
      </w:pPr>
      <w:r>
        <w:rPr>
          <w:noProof/>
        </w:rPr>
        <w:drawing>
          <wp:inline distT="0" distB="0" distL="0" distR="0">
            <wp:extent cx="4810125" cy="2495550"/>
            <wp:effectExtent l="0" t="0" r="0" b="0"/>
            <wp:docPr id="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srcRect/>
                    <a:stretch>
                      <a:fillRect/>
                    </a:stretch>
                  </pic:blipFill>
                  <pic:spPr bwMode="auto">
                    <a:xfrm>
                      <a:off x="0" y="0"/>
                      <a:ext cx="4810125" cy="2495550"/>
                    </a:xfrm>
                    <a:prstGeom prst="rect">
                      <a:avLst/>
                    </a:prstGeom>
                    <a:noFill/>
                    <a:ln w="9525">
                      <a:noFill/>
                      <a:miter lim="800000"/>
                      <a:headEnd/>
                      <a:tailEnd/>
                    </a:ln>
                  </pic:spPr>
                </pic:pic>
              </a:graphicData>
            </a:graphic>
          </wp:inline>
        </w:drawing>
      </w:r>
    </w:p>
    <w:p w:rsidR="000F4E4D" w:rsidRPr="00A71268" w:rsidRDefault="000F4E4D" w:rsidP="00706678">
      <w:pPr>
        <w:rPr>
          <w:b/>
          <w:color w:val="0000FF"/>
          <w:sz w:val="22"/>
          <w:szCs w:val="22"/>
        </w:rPr>
      </w:pPr>
    </w:p>
    <w:p w:rsidR="00653CAE" w:rsidRDefault="00653CAE" w:rsidP="00706678">
      <w:pPr>
        <w:rPr>
          <w:color w:val="C00000"/>
          <w:sz w:val="22"/>
          <w:szCs w:val="22"/>
        </w:rPr>
      </w:pPr>
    </w:p>
    <w:p w:rsidR="0092414A" w:rsidRDefault="0092414A" w:rsidP="00706678">
      <w:pPr>
        <w:rPr>
          <w:color w:val="C00000"/>
          <w:sz w:val="22"/>
          <w:szCs w:val="22"/>
        </w:rPr>
      </w:pPr>
    </w:p>
    <w:p w:rsidR="0092414A" w:rsidRDefault="0092414A" w:rsidP="00706678">
      <w:pPr>
        <w:rPr>
          <w:color w:val="C00000"/>
          <w:sz w:val="22"/>
          <w:szCs w:val="22"/>
        </w:rPr>
      </w:pPr>
    </w:p>
    <w:p w:rsidR="00BC312F" w:rsidRDefault="00BC312F" w:rsidP="00706678">
      <w:pPr>
        <w:rPr>
          <w:color w:val="C00000"/>
          <w:sz w:val="22"/>
          <w:szCs w:val="22"/>
        </w:rPr>
      </w:pPr>
    </w:p>
    <w:p w:rsidR="00BC312F" w:rsidRDefault="00BC312F" w:rsidP="00706678">
      <w:pPr>
        <w:rPr>
          <w:color w:val="C00000"/>
          <w:sz w:val="22"/>
          <w:szCs w:val="22"/>
        </w:rPr>
      </w:pPr>
    </w:p>
    <w:p w:rsidR="00BC312F" w:rsidRDefault="00BC312F" w:rsidP="00706678">
      <w:pPr>
        <w:rPr>
          <w:color w:val="C00000"/>
          <w:sz w:val="22"/>
          <w:szCs w:val="22"/>
        </w:rPr>
      </w:pPr>
    </w:p>
    <w:p w:rsidR="00BC312F" w:rsidRDefault="00BC312F" w:rsidP="00706678">
      <w:pPr>
        <w:rPr>
          <w:color w:val="C00000"/>
          <w:sz w:val="22"/>
          <w:szCs w:val="22"/>
        </w:rPr>
      </w:pPr>
    </w:p>
    <w:p w:rsidR="00BC312F" w:rsidRDefault="00BC312F" w:rsidP="00706678">
      <w:pPr>
        <w:rPr>
          <w:color w:val="C00000"/>
          <w:sz w:val="22"/>
          <w:szCs w:val="22"/>
        </w:rPr>
      </w:pPr>
    </w:p>
    <w:p w:rsidR="00BC312F" w:rsidRDefault="00BC312F" w:rsidP="00706678">
      <w:pPr>
        <w:rPr>
          <w:color w:val="C00000"/>
          <w:sz w:val="22"/>
          <w:szCs w:val="22"/>
        </w:rPr>
      </w:pPr>
    </w:p>
    <w:p w:rsidR="000F4E4D" w:rsidRPr="00706678" w:rsidRDefault="000F4E4D" w:rsidP="00706678">
      <w:pPr>
        <w:rPr>
          <w:color w:val="C00000"/>
          <w:sz w:val="22"/>
          <w:szCs w:val="22"/>
        </w:rPr>
      </w:pPr>
      <w:r w:rsidRPr="00706678">
        <w:rPr>
          <w:color w:val="C00000"/>
          <w:sz w:val="22"/>
          <w:szCs w:val="22"/>
        </w:rPr>
        <w:t>3. CONGIUNTURA DEL COMMERCIO AL DETTAGLIO</w:t>
      </w:r>
    </w:p>
    <w:p w:rsidR="000F4E4D" w:rsidRPr="00CA799E" w:rsidRDefault="000F4E4D" w:rsidP="00706678">
      <w:pPr>
        <w:rPr>
          <w:rFonts w:eastAsia="Arial Unicode MS"/>
          <w:sz w:val="24"/>
        </w:rPr>
      </w:pPr>
    </w:p>
    <w:p w:rsidR="000F4E4D" w:rsidRPr="00DC67F5" w:rsidRDefault="000F4E4D" w:rsidP="00706678">
      <w:pPr>
        <w:spacing w:line="312" w:lineRule="auto"/>
        <w:ind w:firstLine="284"/>
        <w:rPr>
          <w:rFonts w:eastAsia="Arial Unicode MS"/>
          <w:sz w:val="24"/>
        </w:rPr>
      </w:pPr>
      <w:r w:rsidRPr="00A84C41">
        <w:rPr>
          <w:rFonts w:eastAsia="Arial Unicode MS"/>
          <w:sz w:val="24"/>
        </w:rPr>
        <w:t xml:space="preserve">Anche il commercio al dettaglio sta tuttora risentendo della crisi in atto. La forte riduzione della domanda interna registrata negli anni passati ha inciso profondamente sul settore, costringendo molte imprese alla chiusura: </w:t>
      </w:r>
      <w:r>
        <w:rPr>
          <w:rFonts w:eastAsia="Arial Unicode MS"/>
          <w:sz w:val="24"/>
        </w:rPr>
        <w:t>basti pensare che in Italia</w:t>
      </w:r>
      <w:r w:rsidRPr="00DC67F5">
        <w:rPr>
          <w:rFonts w:eastAsia="Arial Unicode MS"/>
          <w:sz w:val="24"/>
        </w:rPr>
        <w:t>, dal 2009 al 30/09/14 vi sono state 370.537 cessazioni a fronte di 262.115 iscrizioni, che in sostanza equivale a</w:t>
      </w:r>
      <w:r>
        <w:rPr>
          <w:rFonts w:eastAsia="Arial Unicode MS"/>
          <w:sz w:val="24"/>
        </w:rPr>
        <w:t xml:space="preserve"> dire che, dall’inizio della crisi, sono “scomparse” ben</w:t>
      </w:r>
      <w:r w:rsidRPr="00DC67F5">
        <w:rPr>
          <w:rFonts w:eastAsia="Arial Unicode MS"/>
          <w:sz w:val="24"/>
        </w:rPr>
        <w:t xml:space="preserve"> 108.422 imprese </w:t>
      </w:r>
      <w:r>
        <w:rPr>
          <w:rFonts w:eastAsia="Arial Unicode MS"/>
          <w:sz w:val="24"/>
        </w:rPr>
        <w:t xml:space="preserve">commerciali </w:t>
      </w:r>
      <w:r w:rsidRPr="00DC67F5">
        <w:rPr>
          <w:rFonts w:eastAsia="Arial Unicode MS"/>
          <w:sz w:val="24"/>
        </w:rPr>
        <w:t>(dati Registro Imprese).</w:t>
      </w:r>
    </w:p>
    <w:p w:rsidR="000F4E4D" w:rsidRPr="00A452E4" w:rsidRDefault="000F4E4D" w:rsidP="00A452E4">
      <w:pPr>
        <w:spacing w:line="312" w:lineRule="auto"/>
        <w:ind w:firstLine="284"/>
        <w:rPr>
          <w:rFonts w:cs="Arial"/>
          <w:sz w:val="24"/>
        </w:rPr>
      </w:pPr>
      <w:r>
        <w:rPr>
          <w:rFonts w:cs="Arial"/>
          <w:sz w:val="24"/>
        </w:rPr>
        <w:t xml:space="preserve">Sul fronte delle vendite nel 3° trimestre 2014, le diminuzioni tendenziali (ovvero calcolate sullo stesso periodo dell’anno precedente), </w:t>
      </w:r>
      <w:r w:rsidRPr="00A452E4">
        <w:rPr>
          <w:rFonts w:cs="Arial"/>
          <w:sz w:val="24"/>
        </w:rPr>
        <w:t>si concentrano soprattutto al Centro</w:t>
      </w:r>
      <w:r>
        <w:rPr>
          <w:rFonts w:cs="Arial"/>
          <w:sz w:val="24"/>
        </w:rPr>
        <w:t>-Sud pur interessando anche il Nord; sensibile inoltre</w:t>
      </w:r>
      <w:r w:rsidRPr="00A452E4">
        <w:rPr>
          <w:rFonts w:cs="Arial"/>
          <w:sz w:val="24"/>
        </w:rPr>
        <w:t xml:space="preserve"> </w:t>
      </w:r>
      <w:r>
        <w:rPr>
          <w:rFonts w:cs="Arial"/>
          <w:sz w:val="24"/>
        </w:rPr>
        <w:t xml:space="preserve">risulta essere </w:t>
      </w:r>
      <w:r w:rsidRPr="00A452E4">
        <w:rPr>
          <w:rFonts w:cs="Arial"/>
          <w:sz w:val="24"/>
        </w:rPr>
        <w:t xml:space="preserve">la contrazione nel commercio al dettaglio </w:t>
      </w:r>
      <w:proofErr w:type="spellStart"/>
      <w:r w:rsidRPr="00A452E4">
        <w:rPr>
          <w:rFonts w:cs="Arial"/>
          <w:sz w:val="24"/>
        </w:rPr>
        <w:t>monosettoriale</w:t>
      </w:r>
      <w:proofErr w:type="spellEnd"/>
      <w:r w:rsidRPr="00A452E4">
        <w:rPr>
          <w:rFonts w:cs="Arial"/>
          <w:sz w:val="24"/>
        </w:rPr>
        <w:t xml:space="preserve"> (-6,4% quello alimen</w:t>
      </w:r>
      <w:r>
        <w:rPr>
          <w:rFonts w:cs="Arial"/>
          <w:sz w:val="24"/>
        </w:rPr>
        <w:t xml:space="preserve">tare, -5,4% il non alimentare) rispetto a </w:t>
      </w:r>
      <w:proofErr w:type="spellStart"/>
      <w:r>
        <w:rPr>
          <w:rFonts w:cs="Arial"/>
          <w:sz w:val="24"/>
        </w:rPr>
        <w:t>i</w:t>
      </w:r>
      <w:r w:rsidRPr="00A452E4">
        <w:rPr>
          <w:rFonts w:cs="Arial"/>
          <w:sz w:val="24"/>
        </w:rPr>
        <w:t>per</w:t>
      </w:r>
      <w:proofErr w:type="spellEnd"/>
      <w:r w:rsidRPr="00A452E4">
        <w:rPr>
          <w:rFonts w:cs="Arial"/>
          <w:sz w:val="24"/>
        </w:rPr>
        <w:t xml:space="preserve"> e supermercati (-3,1%). </w:t>
      </w:r>
    </w:p>
    <w:p w:rsidR="000F4E4D" w:rsidRPr="00DD2A92" w:rsidRDefault="000F4E4D" w:rsidP="00706678">
      <w:pPr>
        <w:autoSpaceDE w:val="0"/>
        <w:autoSpaceDN w:val="0"/>
        <w:adjustRightInd w:val="0"/>
        <w:spacing w:line="312" w:lineRule="auto"/>
        <w:ind w:firstLine="284"/>
        <w:rPr>
          <w:rFonts w:eastAsia="Arial Unicode MS"/>
          <w:sz w:val="24"/>
        </w:rPr>
      </w:pPr>
      <w:r w:rsidRPr="00DD2A92">
        <w:rPr>
          <w:rFonts w:eastAsia="Arial Unicode MS"/>
          <w:sz w:val="24"/>
        </w:rPr>
        <w:t>L’analisi congiunturale descrive una situazione di relativa difficoltà anche in</w:t>
      </w:r>
      <w:r>
        <w:rPr>
          <w:rFonts w:eastAsia="Arial Unicode MS"/>
          <w:sz w:val="24"/>
        </w:rPr>
        <w:br/>
      </w:r>
      <w:r w:rsidRPr="00DD2A92">
        <w:rPr>
          <w:rFonts w:eastAsia="Arial Unicode MS"/>
          <w:sz w:val="24"/>
        </w:rPr>
        <w:t xml:space="preserve">Emilia-Romagna, </w:t>
      </w:r>
      <w:r>
        <w:rPr>
          <w:rFonts w:eastAsia="Arial Unicode MS"/>
          <w:sz w:val="24"/>
        </w:rPr>
        <w:t xml:space="preserve">regione </w:t>
      </w:r>
      <w:r w:rsidRPr="00DD2A92">
        <w:rPr>
          <w:rFonts w:eastAsia="Arial Unicode MS"/>
          <w:sz w:val="24"/>
        </w:rPr>
        <w:t>nella quale si registra un decremento nelle vendite, seppur inferiore</w:t>
      </w:r>
      <w:r>
        <w:rPr>
          <w:rFonts w:eastAsia="Arial Unicode MS"/>
          <w:sz w:val="24"/>
        </w:rPr>
        <w:t xml:space="preserve"> alla variazione percentuale che si riscontra a</w:t>
      </w:r>
      <w:r w:rsidRPr="00DD2A92">
        <w:rPr>
          <w:rFonts w:eastAsia="Arial Unicode MS"/>
          <w:sz w:val="24"/>
        </w:rPr>
        <w:t xml:space="preserve"> livello nazionale; </w:t>
      </w:r>
      <w:r>
        <w:rPr>
          <w:rFonts w:eastAsia="Arial Unicode MS"/>
          <w:sz w:val="24"/>
        </w:rPr>
        <w:t xml:space="preserve">il trend </w:t>
      </w:r>
      <w:r w:rsidRPr="00DD2A92">
        <w:rPr>
          <w:rFonts w:eastAsia="Arial Unicode MS"/>
          <w:sz w:val="24"/>
        </w:rPr>
        <w:t>risulta negativo in tutte le province della regione.</w:t>
      </w:r>
    </w:p>
    <w:p w:rsidR="000F4E4D" w:rsidRPr="00BA7247" w:rsidRDefault="000F4E4D" w:rsidP="00706678">
      <w:pPr>
        <w:spacing w:line="312" w:lineRule="auto"/>
        <w:ind w:firstLine="284"/>
        <w:rPr>
          <w:rFonts w:eastAsia="Arial Unicode MS"/>
          <w:sz w:val="24"/>
          <w:highlight w:val="yellow"/>
        </w:rPr>
      </w:pPr>
    </w:p>
    <w:p w:rsidR="000F4E4D" w:rsidRPr="00A71268" w:rsidRDefault="0092414A" w:rsidP="00653CAE">
      <w:pPr>
        <w:spacing w:line="312" w:lineRule="auto"/>
        <w:ind w:firstLine="284"/>
        <w:rPr>
          <w:rFonts w:eastAsia="Arial Unicode MS"/>
          <w:sz w:val="24"/>
        </w:rPr>
      </w:pPr>
      <w:r>
        <w:rPr>
          <w:rFonts w:eastAsia="Arial Unicode MS"/>
          <w:sz w:val="24"/>
        </w:rPr>
        <w:br w:type="page"/>
      </w:r>
      <w:r w:rsidR="000F4E4D" w:rsidRPr="006428EB">
        <w:rPr>
          <w:rFonts w:eastAsia="Arial Unicode MS"/>
          <w:sz w:val="24"/>
        </w:rPr>
        <w:lastRenderedPageBreak/>
        <w:t>I dati di seguito delineati descrivono la situazione del commercio al dettaglio in provincia di Rimini. Al 30/09/2014 la consistenza delle imprese attive ammonta a 5.301 unità, con un calo dell’1,5% rispetto al 30/09/2013, mentre nei primi nove mesi dell’anno in corso le 416 cessazioni hanno superato le 232 iscrizioni, determinando un saldo nati-mortalità alquanto negativo (-184); sul versante occupazione, al 30/09/2014 gli addetti risultano 12.396, in diminuzione del 2,0% rispetto al 30/09/13, mentre la cassa integrazione nel suo complesso</w:t>
      </w:r>
      <w:r w:rsidR="000F4E4D">
        <w:rPr>
          <w:rFonts w:eastAsia="Arial Unicode MS"/>
          <w:sz w:val="24"/>
        </w:rPr>
        <w:t>,</w:t>
      </w:r>
      <w:r w:rsidR="000F4E4D" w:rsidRPr="006428EB">
        <w:rPr>
          <w:rFonts w:eastAsia="Arial Unicode MS"/>
          <w:sz w:val="24"/>
        </w:rPr>
        <w:t xml:space="preserve"> nel periodo gennaio-settembre 2014</w:t>
      </w:r>
      <w:r w:rsidR="000F4E4D">
        <w:rPr>
          <w:rFonts w:eastAsia="Arial Unicode MS"/>
          <w:sz w:val="24"/>
        </w:rPr>
        <w:t>,</w:t>
      </w:r>
      <w:r w:rsidR="000F4E4D" w:rsidRPr="006428EB">
        <w:rPr>
          <w:rFonts w:eastAsia="Arial Unicode MS"/>
          <w:sz w:val="24"/>
        </w:rPr>
        <w:t xml:space="preserve"> ha fatto registrare un +5,7% rispetto allo stesso periodo dell’anno precedente.</w:t>
      </w:r>
    </w:p>
    <w:p w:rsidR="00653CAE" w:rsidRDefault="00653CAE" w:rsidP="00706678">
      <w:pPr>
        <w:spacing w:line="312" w:lineRule="auto"/>
        <w:ind w:firstLine="284"/>
        <w:rPr>
          <w:rStyle w:val="titoloscenarioer28pt"/>
          <w:sz w:val="24"/>
        </w:rPr>
      </w:pPr>
    </w:p>
    <w:p w:rsidR="000F4E4D" w:rsidRPr="00AD20A7" w:rsidRDefault="000F4E4D" w:rsidP="00706678">
      <w:pPr>
        <w:spacing w:line="312" w:lineRule="auto"/>
        <w:ind w:firstLine="284"/>
        <w:rPr>
          <w:rStyle w:val="titoloscenarioer28pt"/>
          <w:sz w:val="24"/>
        </w:rPr>
      </w:pPr>
      <w:r w:rsidRPr="00AD20A7">
        <w:rPr>
          <w:rStyle w:val="titoloscenarioer28pt"/>
          <w:sz w:val="24"/>
        </w:rPr>
        <w:t xml:space="preserve">Rimini &gt; </w:t>
      </w:r>
      <w:r>
        <w:rPr>
          <w:rStyle w:val="titoloscenarioer28pt"/>
          <w:sz w:val="24"/>
        </w:rPr>
        <w:t>Dati consuntivi al 3</w:t>
      </w:r>
      <w:r w:rsidRPr="00AD20A7">
        <w:rPr>
          <w:rStyle w:val="titoloscenarioer28pt"/>
          <w:sz w:val="24"/>
        </w:rPr>
        <w:t>° trimestre 2014</w:t>
      </w:r>
    </w:p>
    <w:p w:rsidR="000F4E4D" w:rsidRPr="001122FE" w:rsidRDefault="000F4E4D" w:rsidP="00706678">
      <w:pPr>
        <w:spacing w:line="312" w:lineRule="auto"/>
        <w:ind w:firstLine="284"/>
        <w:rPr>
          <w:sz w:val="22"/>
          <w:szCs w:val="22"/>
        </w:rPr>
      </w:pPr>
    </w:p>
    <w:p w:rsidR="000F4E4D" w:rsidRDefault="000F4E4D" w:rsidP="00706678">
      <w:pPr>
        <w:spacing w:line="312" w:lineRule="auto"/>
        <w:ind w:firstLine="284"/>
        <w:rPr>
          <w:rStyle w:val="titoloscenarioer28pt"/>
          <w:b/>
          <w:sz w:val="24"/>
          <w:lang w:val="pl-PL"/>
        </w:rPr>
      </w:pPr>
      <w:r w:rsidRPr="00E034F5">
        <w:rPr>
          <w:rStyle w:val="titoloscenarioer28pt"/>
          <w:b/>
          <w:sz w:val="24"/>
          <w:lang w:val="pl-PL"/>
        </w:rPr>
        <w:t>- VENDITE</w:t>
      </w:r>
    </w:p>
    <w:p w:rsidR="000F4E4D" w:rsidRPr="00653CAE" w:rsidRDefault="000F4E4D" w:rsidP="00706678">
      <w:pPr>
        <w:spacing w:line="312" w:lineRule="auto"/>
        <w:ind w:firstLine="284"/>
        <w:rPr>
          <w:rStyle w:val="titoloscenarioer28pt"/>
          <w:rFonts w:ascii="Arial" w:hAnsi="Arial" w:cs="Arial"/>
          <w:b/>
          <w:sz w:val="24"/>
          <w:lang w:val="pl-PL"/>
        </w:rPr>
      </w:pPr>
    </w:p>
    <w:p w:rsidR="000F4E4D" w:rsidRPr="003B682B" w:rsidRDefault="000F4E4D" w:rsidP="003B682B">
      <w:pPr>
        <w:autoSpaceDE w:val="0"/>
        <w:autoSpaceDN w:val="0"/>
        <w:adjustRightInd w:val="0"/>
        <w:spacing w:line="312" w:lineRule="auto"/>
        <w:ind w:firstLine="284"/>
        <w:rPr>
          <w:rFonts w:eastAsia="Arial Unicode MS"/>
          <w:sz w:val="24"/>
        </w:rPr>
      </w:pPr>
      <w:r w:rsidRPr="003B682B">
        <w:rPr>
          <w:rFonts w:eastAsia="Arial Unicode MS"/>
          <w:sz w:val="24"/>
        </w:rPr>
        <w:t xml:space="preserve">Le vendite mostrano una diminuzione del 4,6% rispetto allo stesso trimestre dell’anno precedente; anche in Emilia-Romagna si riscontra una contrazione più contenuta (-3,8%), mentre l’Italia </w:t>
      </w:r>
      <w:r>
        <w:rPr>
          <w:rFonts w:eastAsia="Arial Unicode MS"/>
          <w:sz w:val="24"/>
        </w:rPr>
        <w:t>è caratterizzata da un calo maggiore</w:t>
      </w:r>
      <w:r w:rsidRPr="003B682B">
        <w:rPr>
          <w:rFonts w:eastAsia="Arial Unicode MS"/>
          <w:sz w:val="24"/>
        </w:rPr>
        <w:t xml:space="preserve"> </w:t>
      </w:r>
      <w:r>
        <w:rPr>
          <w:rFonts w:eastAsia="Arial Unicode MS"/>
          <w:sz w:val="24"/>
        </w:rPr>
        <w:t>(</w:t>
      </w:r>
      <w:r w:rsidRPr="003B682B">
        <w:rPr>
          <w:rFonts w:eastAsia="Arial Unicode MS"/>
          <w:sz w:val="24"/>
        </w:rPr>
        <w:t>-5,3%</w:t>
      </w:r>
      <w:r>
        <w:rPr>
          <w:rFonts w:eastAsia="Arial Unicode MS"/>
          <w:sz w:val="24"/>
        </w:rPr>
        <w:t>)</w:t>
      </w:r>
      <w:r w:rsidRPr="003B682B">
        <w:rPr>
          <w:rFonts w:eastAsia="Arial Unicode MS"/>
          <w:sz w:val="24"/>
        </w:rPr>
        <w:t>.</w:t>
      </w:r>
    </w:p>
    <w:p w:rsidR="000F4E4D" w:rsidRPr="00BA7247" w:rsidRDefault="000F4E4D" w:rsidP="00CA799E">
      <w:pPr>
        <w:autoSpaceDE w:val="0"/>
        <w:autoSpaceDN w:val="0"/>
        <w:adjustRightInd w:val="0"/>
        <w:spacing w:line="312" w:lineRule="auto"/>
        <w:ind w:firstLine="284"/>
        <w:rPr>
          <w:rFonts w:eastAsia="Arial Unicode MS"/>
          <w:sz w:val="24"/>
          <w:highlight w:val="yellow"/>
        </w:rPr>
      </w:pPr>
    </w:p>
    <w:p w:rsidR="000F4E4D" w:rsidRPr="00BA7247" w:rsidRDefault="000F4E4D" w:rsidP="00CA799E">
      <w:pPr>
        <w:autoSpaceDE w:val="0"/>
        <w:autoSpaceDN w:val="0"/>
        <w:adjustRightInd w:val="0"/>
        <w:spacing w:line="312" w:lineRule="auto"/>
        <w:ind w:firstLine="284"/>
        <w:rPr>
          <w:rFonts w:eastAsia="Arial Unicode MS"/>
          <w:sz w:val="24"/>
          <w:highlight w:val="yellow"/>
        </w:rPr>
      </w:pPr>
      <w:r w:rsidRPr="003B682B">
        <w:rPr>
          <w:rFonts w:eastAsia="Arial Unicode MS"/>
          <w:sz w:val="24"/>
        </w:rPr>
        <w:t>Analizzando la serie storica trimestrale degli ultimi due anni si osserva come tutte le variazioni siano di segno negativo e che il valore del 2° trimestre 2014 rappresenti la più bassa contrazione percentuale annua.</w:t>
      </w:r>
      <w:r>
        <w:rPr>
          <w:rFonts w:eastAsia="Arial Unicode MS"/>
          <w:sz w:val="24"/>
        </w:rPr>
        <w:t xml:space="preserve"> L’anno in corso è caratterizzato da un andamento altalenante.</w:t>
      </w:r>
    </w:p>
    <w:p w:rsidR="000F4E4D" w:rsidRPr="00BA7247" w:rsidRDefault="000F4E4D" w:rsidP="00CA799E">
      <w:pPr>
        <w:autoSpaceDE w:val="0"/>
        <w:autoSpaceDN w:val="0"/>
        <w:adjustRightInd w:val="0"/>
        <w:spacing w:line="312" w:lineRule="auto"/>
        <w:ind w:firstLine="284"/>
        <w:rPr>
          <w:rFonts w:eastAsia="Arial Unicode MS"/>
          <w:sz w:val="24"/>
          <w:highlight w:val="yellow"/>
        </w:rPr>
      </w:pPr>
    </w:p>
    <w:p w:rsidR="000F4E4D" w:rsidRPr="00CA799E" w:rsidRDefault="000F4E4D" w:rsidP="00CA799E">
      <w:pPr>
        <w:autoSpaceDE w:val="0"/>
        <w:autoSpaceDN w:val="0"/>
        <w:adjustRightInd w:val="0"/>
        <w:spacing w:line="312" w:lineRule="auto"/>
        <w:ind w:firstLine="284"/>
        <w:rPr>
          <w:rFonts w:eastAsia="Arial Unicode MS"/>
          <w:sz w:val="24"/>
        </w:rPr>
      </w:pPr>
      <w:r w:rsidRPr="006A649A">
        <w:rPr>
          <w:rFonts w:eastAsia="Arial Unicode MS"/>
          <w:sz w:val="24"/>
        </w:rPr>
        <w:t xml:space="preserve">Rispetto al 2° trimestre 2014 </w:t>
      </w:r>
      <w:r>
        <w:rPr>
          <w:rFonts w:eastAsia="Arial Unicode MS"/>
          <w:sz w:val="24"/>
        </w:rPr>
        <w:t>quasi il 13</w:t>
      </w:r>
      <w:r w:rsidRPr="006A649A">
        <w:rPr>
          <w:rFonts w:eastAsia="Arial Unicode MS"/>
          <w:sz w:val="24"/>
        </w:rPr>
        <w:t>% delle imprese ha riscontrato un aumento delle vendite, mentre i</w:t>
      </w:r>
      <w:r>
        <w:rPr>
          <w:rFonts w:eastAsia="Arial Unicode MS"/>
          <w:sz w:val="24"/>
        </w:rPr>
        <w:t>l restante 87</w:t>
      </w:r>
      <w:r w:rsidRPr="006A649A">
        <w:rPr>
          <w:rFonts w:eastAsia="Arial Unicode MS"/>
          <w:sz w:val="24"/>
        </w:rPr>
        <w:t xml:space="preserve">% si distribuisce in parti uguali tra </w:t>
      </w:r>
      <w:r>
        <w:rPr>
          <w:rFonts w:eastAsia="Arial Unicode MS"/>
          <w:sz w:val="24"/>
        </w:rPr>
        <w:t>coloro che hanno riscontrato</w:t>
      </w:r>
      <w:r w:rsidRPr="006A649A">
        <w:rPr>
          <w:rFonts w:eastAsia="Arial Unicode MS"/>
          <w:sz w:val="24"/>
        </w:rPr>
        <w:t xml:space="preserve"> diminuzione o stabilità. In Emilia-Romagna</w:t>
      </w:r>
      <w:r>
        <w:rPr>
          <w:rFonts w:eastAsia="Arial Unicode MS"/>
          <w:sz w:val="24"/>
        </w:rPr>
        <w:t xml:space="preserve"> tali valori si attestano a 17% in aumento, 37% stabilità, 46</w:t>
      </w:r>
      <w:r w:rsidRPr="006A649A">
        <w:rPr>
          <w:rFonts w:eastAsia="Arial Unicode MS"/>
          <w:sz w:val="24"/>
        </w:rPr>
        <w:t>% in diminuzione, men</w:t>
      </w:r>
      <w:r>
        <w:rPr>
          <w:rFonts w:eastAsia="Arial Unicode MS"/>
          <w:sz w:val="24"/>
        </w:rPr>
        <w:t>tre in Italia risultano del 18</w:t>
      </w:r>
      <w:r w:rsidRPr="006A649A">
        <w:rPr>
          <w:rFonts w:eastAsia="Arial Unicode MS"/>
          <w:sz w:val="24"/>
        </w:rPr>
        <w:t>% in aumento</w:t>
      </w:r>
      <w:r>
        <w:rPr>
          <w:rFonts w:eastAsia="Arial Unicode MS"/>
          <w:sz w:val="24"/>
        </w:rPr>
        <w:t>, 38% stabilità, 44</w:t>
      </w:r>
      <w:r w:rsidRPr="006A649A">
        <w:rPr>
          <w:rFonts w:eastAsia="Arial Unicode MS"/>
          <w:sz w:val="24"/>
        </w:rPr>
        <w:t>% in diminuzione.</w:t>
      </w:r>
    </w:p>
    <w:p w:rsidR="000F4E4D" w:rsidRDefault="000F4E4D" w:rsidP="00CA799E">
      <w:pPr>
        <w:rPr>
          <w:rFonts w:eastAsia="Arial Unicode MS"/>
          <w:sz w:val="24"/>
        </w:rPr>
      </w:pPr>
    </w:p>
    <w:p w:rsidR="000F4E4D" w:rsidRDefault="000F4E4D" w:rsidP="00706678">
      <w:pPr>
        <w:jc w:val="center"/>
        <w:rPr>
          <w:b/>
          <w:sz w:val="22"/>
          <w:szCs w:val="22"/>
        </w:rPr>
      </w:pPr>
      <w:r w:rsidRPr="00FD3D6C">
        <w:rPr>
          <w:b/>
          <w:sz w:val="22"/>
          <w:szCs w:val="22"/>
        </w:rPr>
        <w:t>Imprese Totali</w:t>
      </w:r>
    </w:p>
    <w:p w:rsidR="000F4E4D" w:rsidRPr="00BA1865" w:rsidRDefault="000F4E4D" w:rsidP="00682044">
      <w:pPr>
        <w:spacing w:before="120"/>
        <w:jc w:val="center"/>
        <w:rPr>
          <w:b/>
          <w:color w:val="FF0000"/>
          <w:sz w:val="22"/>
          <w:szCs w:val="22"/>
        </w:rPr>
      </w:pPr>
      <w:r>
        <w:rPr>
          <w:i/>
          <w:sz w:val="18"/>
          <w:szCs w:val="18"/>
        </w:rPr>
        <w:t>TAV. 16</w:t>
      </w:r>
    </w:p>
    <w:p w:rsidR="000F4E4D" w:rsidRPr="00B459E8" w:rsidRDefault="00C379E0" w:rsidP="00706678">
      <w:pPr>
        <w:jc w:val="center"/>
      </w:pPr>
      <w:r>
        <w:rPr>
          <w:noProof/>
        </w:rPr>
        <w:drawing>
          <wp:inline distT="0" distB="0" distL="0" distR="0">
            <wp:extent cx="3600450" cy="2209800"/>
            <wp:effectExtent l="0" t="0" r="0" b="0"/>
            <wp:docPr id="2"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34"/>
                    <a:srcRect/>
                    <a:stretch>
                      <a:fillRect/>
                    </a:stretch>
                  </pic:blipFill>
                  <pic:spPr bwMode="auto">
                    <a:xfrm>
                      <a:off x="0" y="0"/>
                      <a:ext cx="3600450" cy="2209800"/>
                    </a:xfrm>
                    <a:prstGeom prst="rect">
                      <a:avLst/>
                    </a:prstGeom>
                    <a:noFill/>
                    <a:ln w="9525">
                      <a:noFill/>
                      <a:miter lim="800000"/>
                      <a:headEnd/>
                      <a:tailEnd/>
                    </a:ln>
                  </pic:spPr>
                </pic:pic>
              </a:graphicData>
            </a:graphic>
          </wp:inline>
        </w:drawing>
      </w:r>
    </w:p>
    <w:p w:rsidR="000F4E4D" w:rsidRPr="00BA1865" w:rsidRDefault="000F4E4D" w:rsidP="00706678">
      <w:pPr>
        <w:jc w:val="center"/>
      </w:pPr>
    </w:p>
    <w:p w:rsidR="000F4E4D" w:rsidRPr="00A71268" w:rsidRDefault="000F4E4D" w:rsidP="00A71268">
      <w:pPr>
        <w:rPr>
          <w:rFonts w:eastAsia="Arial Unicode MS"/>
          <w:sz w:val="24"/>
        </w:rPr>
      </w:pPr>
    </w:p>
    <w:p w:rsidR="000F4E4D" w:rsidRPr="00F514E9" w:rsidRDefault="000F4E4D" w:rsidP="00F81B1C">
      <w:pPr>
        <w:spacing w:line="312" w:lineRule="auto"/>
        <w:ind w:firstLine="284"/>
        <w:rPr>
          <w:rStyle w:val="titoloscenarioer28pt"/>
          <w:b/>
          <w:sz w:val="24"/>
        </w:rPr>
      </w:pPr>
      <w:r w:rsidRPr="00F514E9">
        <w:rPr>
          <w:rStyle w:val="titoloscenarioer28pt"/>
          <w:b/>
          <w:sz w:val="24"/>
        </w:rPr>
        <w:t>- GIACENZE</w:t>
      </w:r>
    </w:p>
    <w:p w:rsidR="000F4E4D" w:rsidRPr="00A71268" w:rsidRDefault="000F4E4D" w:rsidP="00A71268">
      <w:pPr>
        <w:rPr>
          <w:rFonts w:eastAsia="Arial Unicode MS"/>
          <w:sz w:val="24"/>
        </w:rPr>
      </w:pPr>
    </w:p>
    <w:p w:rsidR="000F4E4D" w:rsidRDefault="000F4E4D" w:rsidP="00CA799E">
      <w:pPr>
        <w:autoSpaceDE w:val="0"/>
        <w:autoSpaceDN w:val="0"/>
        <w:adjustRightInd w:val="0"/>
        <w:spacing w:line="312" w:lineRule="auto"/>
        <w:ind w:firstLine="284"/>
        <w:rPr>
          <w:rFonts w:eastAsia="Arial Unicode MS"/>
          <w:sz w:val="24"/>
        </w:rPr>
      </w:pPr>
      <w:r w:rsidRPr="00B07809">
        <w:rPr>
          <w:rFonts w:eastAsia="Arial Unicode MS"/>
          <w:sz w:val="24"/>
        </w:rPr>
        <w:t>Con riferimen</w:t>
      </w:r>
      <w:r>
        <w:rPr>
          <w:rFonts w:eastAsia="Arial Unicode MS"/>
          <w:sz w:val="24"/>
        </w:rPr>
        <w:t>to al 2° trimestre 2014, il 20</w:t>
      </w:r>
      <w:r w:rsidRPr="00B07809">
        <w:rPr>
          <w:rFonts w:eastAsia="Arial Unicode MS"/>
          <w:sz w:val="24"/>
        </w:rPr>
        <w:t xml:space="preserve">% </w:t>
      </w:r>
      <w:r>
        <w:rPr>
          <w:rFonts w:eastAsia="Arial Unicode MS"/>
          <w:sz w:val="24"/>
        </w:rPr>
        <w:t xml:space="preserve">circa </w:t>
      </w:r>
      <w:r w:rsidRPr="00B07809">
        <w:rPr>
          <w:rFonts w:eastAsia="Arial Unicode MS"/>
          <w:sz w:val="24"/>
        </w:rPr>
        <w:t>delle imprese ha riscontrato un</w:t>
      </w:r>
      <w:r>
        <w:rPr>
          <w:rFonts w:eastAsia="Arial Unicode MS"/>
          <w:sz w:val="24"/>
        </w:rPr>
        <w:t xml:space="preserve"> aumento delle giacenze, il 74</w:t>
      </w:r>
      <w:r w:rsidRPr="00B07809">
        <w:rPr>
          <w:rFonts w:eastAsia="Arial Unicode MS"/>
          <w:sz w:val="24"/>
        </w:rPr>
        <w:t>%% non ha subit</w:t>
      </w:r>
      <w:r>
        <w:rPr>
          <w:rFonts w:eastAsia="Arial Unicode MS"/>
          <w:sz w:val="24"/>
        </w:rPr>
        <w:t>o variazioni, mentre solo il 6</w:t>
      </w:r>
      <w:r w:rsidRPr="00B07809">
        <w:rPr>
          <w:rFonts w:eastAsia="Arial Unicode MS"/>
          <w:sz w:val="24"/>
        </w:rPr>
        <w:t>% ha registrato una diminuzione. In Emilia-Romagna</w:t>
      </w:r>
      <w:r>
        <w:rPr>
          <w:rFonts w:eastAsia="Arial Unicode MS"/>
          <w:sz w:val="24"/>
        </w:rPr>
        <w:t xml:space="preserve"> tali valori si attestano a 11</w:t>
      </w:r>
      <w:r w:rsidRPr="00B07809">
        <w:rPr>
          <w:rFonts w:eastAsia="Arial Unicode MS"/>
          <w:sz w:val="24"/>
        </w:rPr>
        <w:t>% aumento</w:t>
      </w:r>
      <w:r>
        <w:rPr>
          <w:rFonts w:eastAsia="Arial Unicode MS"/>
          <w:sz w:val="24"/>
        </w:rPr>
        <w:t xml:space="preserve">, 82% stabilità, 6% </w:t>
      </w:r>
      <w:r w:rsidRPr="00B07809">
        <w:rPr>
          <w:rFonts w:eastAsia="Arial Unicode MS"/>
          <w:sz w:val="24"/>
        </w:rPr>
        <w:t>diminuzione, ment</w:t>
      </w:r>
      <w:r>
        <w:rPr>
          <w:rFonts w:eastAsia="Arial Unicode MS"/>
          <w:sz w:val="24"/>
        </w:rPr>
        <w:t>re in Italia si attestano a 11% in aumento, 79% stabilità, 10</w:t>
      </w:r>
      <w:r w:rsidRPr="00B07809">
        <w:rPr>
          <w:rFonts w:eastAsia="Arial Unicode MS"/>
          <w:sz w:val="24"/>
        </w:rPr>
        <w:t>% in diminuzione.</w:t>
      </w:r>
    </w:p>
    <w:p w:rsidR="00653CAE" w:rsidRDefault="00653CAE" w:rsidP="00CA799E">
      <w:pPr>
        <w:autoSpaceDE w:val="0"/>
        <w:autoSpaceDN w:val="0"/>
        <w:adjustRightInd w:val="0"/>
        <w:spacing w:line="312" w:lineRule="auto"/>
        <w:ind w:firstLine="284"/>
        <w:rPr>
          <w:rFonts w:eastAsia="Arial Unicode M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0F4E4D" w:rsidRPr="00CA799E" w:rsidTr="00653CAE">
        <w:trPr>
          <w:trHeight w:val="1255"/>
        </w:trPr>
        <w:tc>
          <w:tcPr>
            <w:tcW w:w="9570" w:type="dxa"/>
          </w:tcPr>
          <w:p w:rsidR="000F4E4D" w:rsidRPr="004C13A5" w:rsidRDefault="00653CAE" w:rsidP="004C13A5">
            <w:pPr>
              <w:spacing w:line="312" w:lineRule="auto"/>
              <w:rPr>
                <w:rFonts w:eastAsia="Arial Unicode MS"/>
                <w:sz w:val="24"/>
              </w:rPr>
            </w:pPr>
            <w:r>
              <w:rPr>
                <w:rFonts w:eastAsia="Arial Unicode MS"/>
                <w:sz w:val="24"/>
              </w:rPr>
              <w:br w:type="page"/>
            </w:r>
          </w:p>
          <w:p w:rsidR="000F4E4D" w:rsidRPr="004C13A5" w:rsidRDefault="000F4E4D" w:rsidP="004C13A5">
            <w:pPr>
              <w:numPr>
                <w:ilvl w:val="0"/>
                <w:numId w:val="13"/>
              </w:numPr>
              <w:spacing w:line="312" w:lineRule="auto"/>
              <w:rPr>
                <w:rFonts w:eastAsia="Arial Unicode MS"/>
                <w:sz w:val="24"/>
              </w:rPr>
            </w:pPr>
            <w:r w:rsidRPr="004C13A5">
              <w:rPr>
                <w:rFonts w:eastAsia="Arial Unicode MS"/>
                <w:sz w:val="24"/>
              </w:rPr>
              <w:t>la situazione provinciale con riferimento alle vendite del commercio al dettaglio risulta peggiore rispetto a quella regionale e migliore di quella nazionale.</w:t>
            </w:r>
          </w:p>
          <w:p w:rsidR="000F4E4D" w:rsidRPr="004C13A5" w:rsidRDefault="000F4E4D" w:rsidP="004C13A5">
            <w:pPr>
              <w:spacing w:line="312" w:lineRule="auto"/>
              <w:rPr>
                <w:rFonts w:eastAsia="Arial Unicode MS"/>
                <w:sz w:val="24"/>
              </w:rPr>
            </w:pPr>
          </w:p>
        </w:tc>
      </w:tr>
    </w:tbl>
    <w:p w:rsidR="000F4E4D" w:rsidRDefault="000F4E4D" w:rsidP="00706678">
      <w:pPr>
        <w:spacing w:line="312" w:lineRule="auto"/>
        <w:ind w:firstLine="284"/>
        <w:rPr>
          <w:rFonts w:eastAsia="Arial Unicode MS"/>
          <w:sz w:val="24"/>
        </w:rPr>
      </w:pPr>
    </w:p>
    <w:p w:rsidR="000F4E4D" w:rsidRPr="00BB1D1A" w:rsidRDefault="000F4E4D" w:rsidP="00706678">
      <w:pPr>
        <w:spacing w:line="312" w:lineRule="auto"/>
        <w:ind w:firstLine="284"/>
        <w:rPr>
          <w:rFonts w:eastAsia="Arial Unicode MS"/>
          <w:sz w:val="24"/>
        </w:rPr>
      </w:pPr>
      <w:r>
        <w:rPr>
          <w:rFonts w:eastAsia="Arial Unicode MS"/>
          <w:sz w:val="24"/>
        </w:rPr>
        <w:t xml:space="preserve">La previsione per il </w:t>
      </w:r>
      <w:r w:rsidRPr="00BB1D1A">
        <w:rPr>
          <w:rFonts w:eastAsia="Arial Unicode MS"/>
          <w:sz w:val="24"/>
        </w:rPr>
        <w:t>trimestre successivo</w:t>
      </w:r>
      <w:r>
        <w:rPr>
          <w:rFonts w:eastAsia="Arial Unicode MS"/>
          <w:sz w:val="24"/>
        </w:rPr>
        <w:t xml:space="preserve"> per il 60</w:t>
      </w:r>
      <w:r w:rsidRPr="00BB1D1A">
        <w:rPr>
          <w:rFonts w:eastAsia="Arial Unicode MS"/>
          <w:sz w:val="24"/>
        </w:rPr>
        <w:t xml:space="preserve">% delle imprese </w:t>
      </w:r>
      <w:r>
        <w:rPr>
          <w:rFonts w:eastAsia="Arial Unicode MS"/>
          <w:sz w:val="24"/>
        </w:rPr>
        <w:t>è l’attesa di</w:t>
      </w:r>
      <w:r w:rsidRPr="00BB1D1A">
        <w:rPr>
          <w:rFonts w:eastAsia="Arial Unicode MS"/>
          <w:sz w:val="24"/>
        </w:rPr>
        <w:t xml:space="preserve"> stabilità dei livelli delle vendite; </w:t>
      </w:r>
      <w:r>
        <w:rPr>
          <w:rFonts w:eastAsia="Arial Unicode MS"/>
          <w:sz w:val="24"/>
        </w:rPr>
        <w:t>simili</w:t>
      </w:r>
      <w:r w:rsidRPr="00BB1D1A">
        <w:rPr>
          <w:rFonts w:eastAsia="Arial Unicode MS"/>
          <w:sz w:val="24"/>
        </w:rPr>
        <w:t xml:space="preserve"> le quote di coloro i qua</w:t>
      </w:r>
      <w:r>
        <w:rPr>
          <w:rFonts w:eastAsia="Arial Unicode MS"/>
          <w:sz w:val="24"/>
        </w:rPr>
        <w:t>li si attendono un aumento (21</w:t>
      </w:r>
      <w:r w:rsidRPr="00BB1D1A">
        <w:rPr>
          <w:rFonts w:eastAsia="Arial Unicode MS"/>
          <w:sz w:val="24"/>
        </w:rPr>
        <w:t xml:space="preserve">%) </w:t>
      </w:r>
      <w:r>
        <w:rPr>
          <w:rFonts w:eastAsia="Arial Unicode MS"/>
          <w:sz w:val="24"/>
        </w:rPr>
        <w:t>o</w:t>
      </w:r>
      <w:r w:rsidRPr="00BB1D1A">
        <w:rPr>
          <w:rFonts w:eastAsia="Arial Unicode MS"/>
          <w:sz w:val="24"/>
        </w:rPr>
        <w:t xml:space="preserve"> una diminuzione</w:t>
      </w:r>
      <w:r>
        <w:rPr>
          <w:rFonts w:eastAsia="Arial Unicode MS"/>
          <w:sz w:val="24"/>
        </w:rPr>
        <w:t xml:space="preserve"> (19</w:t>
      </w:r>
      <w:r w:rsidRPr="00BB1D1A">
        <w:rPr>
          <w:rFonts w:eastAsia="Arial Unicode MS"/>
          <w:sz w:val="24"/>
        </w:rPr>
        <w:t>%).</w:t>
      </w:r>
    </w:p>
    <w:p w:rsidR="000F4E4D" w:rsidRPr="00BA7247" w:rsidRDefault="000F4E4D" w:rsidP="00706678">
      <w:pPr>
        <w:spacing w:line="312" w:lineRule="auto"/>
        <w:ind w:firstLine="284"/>
        <w:rPr>
          <w:rFonts w:eastAsia="Arial Unicode MS"/>
          <w:sz w:val="24"/>
          <w:highlight w:val="yellow"/>
        </w:rPr>
      </w:pPr>
    </w:p>
    <w:p w:rsidR="000F4E4D" w:rsidRPr="00672DC7" w:rsidRDefault="000F4E4D" w:rsidP="00706678">
      <w:pPr>
        <w:spacing w:line="312" w:lineRule="auto"/>
        <w:ind w:firstLine="284"/>
        <w:rPr>
          <w:rFonts w:eastAsia="Arial Unicode MS"/>
          <w:sz w:val="24"/>
        </w:rPr>
      </w:pPr>
      <w:r w:rsidRPr="00672DC7">
        <w:rPr>
          <w:rFonts w:eastAsia="Arial Unicode MS"/>
          <w:sz w:val="24"/>
        </w:rPr>
        <w:t xml:space="preserve">Le aspettative </w:t>
      </w:r>
      <w:r>
        <w:rPr>
          <w:rFonts w:eastAsia="Arial Unicode MS"/>
          <w:sz w:val="24"/>
        </w:rPr>
        <w:t>relative</w:t>
      </w:r>
      <w:r w:rsidRPr="00672DC7">
        <w:rPr>
          <w:rFonts w:eastAsia="Arial Unicode MS"/>
          <w:sz w:val="24"/>
        </w:rPr>
        <w:t xml:space="preserve"> agli ordinativi rivolti ai fornitori sono le </w:t>
      </w:r>
      <w:r>
        <w:rPr>
          <w:rFonts w:eastAsia="Arial Unicode MS"/>
          <w:sz w:val="24"/>
        </w:rPr>
        <w:t>seguenti: 14% in aumento, 62% stabilità, 24</w:t>
      </w:r>
      <w:r w:rsidRPr="00672DC7">
        <w:rPr>
          <w:rFonts w:eastAsia="Arial Unicode MS"/>
          <w:sz w:val="24"/>
        </w:rPr>
        <w:t>% in diminuzione.</w:t>
      </w:r>
    </w:p>
    <w:p w:rsidR="000F4E4D" w:rsidRPr="00BA7247" w:rsidRDefault="000F4E4D" w:rsidP="00706678">
      <w:pPr>
        <w:spacing w:line="312" w:lineRule="auto"/>
        <w:ind w:firstLine="284"/>
        <w:rPr>
          <w:rFonts w:eastAsia="Arial Unicode MS"/>
          <w:sz w:val="24"/>
          <w:highlight w:val="yellow"/>
        </w:rPr>
      </w:pPr>
    </w:p>
    <w:p w:rsidR="000F4E4D" w:rsidRDefault="000F4E4D" w:rsidP="00706678">
      <w:pPr>
        <w:spacing w:line="312" w:lineRule="auto"/>
        <w:ind w:firstLine="284"/>
        <w:rPr>
          <w:rFonts w:eastAsia="Arial Unicode MS"/>
          <w:sz w:val="24"/>
        </w:rPr>
      </w:pPr>
      <w:r w:rsidRPr="00672DC7">
        <w:rPr>
          <w:rFonts w:eastAsia="Arial Unicode MS"/>
          <w:sz w:val="24"/>
        </w:rPr>
        <w:t xml:space="preserve">Per ciò che riguarda le previsioni in merito all’evoluzione dell’attività, </w:t>
      </w:r>
      <w:r>
        <w:rPr>
          <w:rFonts w:eastAsia="Arial Unicode MS"/>
          <w:sz w:val="24"/>
        </w:rPr>
        <w:t>solo il 2</w:t>
      </w:r>
      <w:r w:rsidRPr="00672DC7">
        <w:rPr>
          <w:rFonts w:eastAsia="Arial Unicode MS"/>
          <w:sz w:val="24"/>
        </w:rPr>
        <w:t>% delle imprese nei dodici mesi successivi pensa d</w:t>
      </w:r>
      <w:r>
        <w:rPr>
          <w:rFonts w:eastAsia="Arial Unicode MS"/>
          <w:sz w:val="24"/>
        </w:rPr>
        <w:t>i ritirarsi dal mercato; il 27</w:t>
      </w:r>
      <w:r w:rsidRPr="00672DC7">
        <w:rPr>
          <w:rFonts w:eastAsia="Arial Unicode MS"/>
          <w:sz w:val="24"/>
        </w:rPr>
        <w:t xml:space="preserve">% si attende uno sviluppo, </w:t>
      </w:r>
      <w:r>
        <w:rPr>
          <w:rFonts w:eastAsia="Arial Unicode MS"/>
          <w:sz w:val="24"/>
        </w:rPr>
        <w:t>l</w:t>
      </w:r>
      <w:r w:rsidRPr="00672DC7">
        <w:rPr>
          <w:rFonts w:eastAsia="Arial Unicode MS"/>
          <w:sz w:val="24"/>
        </w:rPr>
        <w:t>a m</w:t>
      </w:r>
      <w:r>
        <w:rPr>
          <w:rFonts w:eastAsia="Arial Unicode MS"/>
          <w:sz w:val="24"/>
        </w:rPr>
        <w:t>aggior parte delle imprese (6</w:t>
      </w:r>
      <w:r w:rsidRPr="00672DC7">
        <w:rPr>
          <w:rFonts w:eastAsia="Arial Unicode MS"/>
          <w:sz w:val="24"/>
        </w:rPr>
        <w:t>7%) si aspetta che l’attività rimanga stabile</w:t>
      </w:r>
      <w:r>
        <w:rPr>
          <w:rFonts w:eastAsia="Arial Unicode MS"/>
          <w:sz w:val="24"/>
        </w:rPr>
        <w:t>,</w:t>
      </w:r>
      <w:r w:rsidRPr="00672DC7">
        <w:rPr>
          <w:rFonts w:eastAsia="Arial Unicode MS"/>
          <w:sz w:val="24"/>
        </w:rPr>
        <w:t xml:space="preserve"> </w:t>
      </w:r>
      <w:r>
        <w:rPr>
          <w:rFonts w:eastAsia="Arial Unicode MS"/>
          <w:sz w:val="24"/>
        </w:rPr>
        <w:t>mentre il 4</w:t>
      </w:r>
      <w:r w:rsidRPr="00672DC7">
        <w:rPr>
          <w:rFonts w:eastAsia="Arial Unicode MS"/>
          <w:sz w:val="24"/>
        </w:rPr>
        <w:t>% una diminuzione.</w:t>
      </w:r>
    </w:p>
    <w:p w:rsidR="000F4E4D" w:rsidRPr="00AA35B5" w:rsidRDefault="000F4E4D" w:rsidP="00706678">
      <w:pPr>
        <w:spacing w:line="312" w:lineRule="auto"/>
        <w:ind w:firstLine="284"/>
        <w:rPr>
          <w:rFonts w:eastAsia="Arial Unicode MS"/>
          <w:sz w:val="24"/>
        </w:rPr>
      </w:pPr>
    </w:p>
    <w:p w:rsidR="000F4E4D" w:rsidRDefault="000F4E4D" w:rsidP="00706678">
      <w:pPr>
        <w:spacing w:line="312" w:lineRule="auto"/>
        <w:ind w:firstLine="284"/>
        <w:rPr>
          <w:rFonts w:eastAsia="Arial Unicode MS"/>
          <w:sz w:val="24"/>
        </w:rPr>
      </w:pPr>
      <w:r>
        <w:rPr>
          <w:rFonts w:eastAsia="Arial Unicode MS"/>
          <w:sz w:val="24"/>
        </w:rPr>
        <w:t>Si riportano le variazioni negli ultimi 6 anni del settore commercio, sempre negative:</w:t>
      </w:r>
    </w:p>
    <w:p w:rsidR="000F4E4D" w:rsidRPr="00AA35B5" w:rsidRDefault="000F4E4D" w:rsidP="00706678">
      <w:pPr>
        <w:spacing w:line="312" w:lineRule="auto"/>
        <w:ind w:firstLine="284"/>
        <w:rPr>
          <w:rFonts w:eastAsia="Arial Unicode MS"/>
          <w:sz w:val="24"/>
        </w:rPr>
      </w:pPr>
    </w:p>
    <w:p w:rsidR="000F4E4D" w:rsidRDefault="000F4E4D" w:rsidP="00706678">
      <w:pPr>
        <w:jc w:val="center"/>
      </w:pPr>
      <w:r>
        <w:rPr>
          <w:i/>
          <w:sz w:val="18"/>
          <w:szCs w:val="18"/>
        </w:rPr>
        <w:t>TAV. 17</w:t>
      </w:r>
    </w:p>
    <w:p w:rsidR="000F4E4D" w:rsidRPr="00FB4121" w:rsidRDefault="00C379E0" w:rsidP="00706678">
      <w:pPr>
        <w:jc w:val="center"/>
        <w:rPr>
          <w:sz w:val="20"/>
          <w:szCs w:val="20"/>
        </w:rPr>
      </w:pPr>
      <w:r>
        <w:rPr>
          <w:noProof/>
        </w:rPr>
        <w:drawing>
          <wp:inline distT="0" distB="0" distL="0" distR="0">
            <wp:extent cx="4324350" cy="2447925"/>
            <wp:effectExtent l="0" t="0" r="0" b="0"/>
            <wp:docPr id="1"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
                    <pic:cNvPicPr>
                      <a:picLocks noChangeAspect="1" noChangeArrowheads="1"/>
                    </pic:cNvPicPr>
                  </pic:nvPicPr>
                  <pic:blipFill>
                    <a:blip r:embed="rId35"/>
                    <a:srcRect/>
                    <a:stretch>
                      <a:fillRect/>
                    </a:stretch>
                  </pic:blipFill>
                  <pic:spPr bwMode="auto">
                    <a:xfrm>
                      <a:off x="0" y="0"/>
                      <a:ext cx="4324350" cy="2447925"/>
                    </a:xfrm>
                    <a:prstGeom prst="rect">
                      <a:avLst/>
                    </a:prstGeom>
                    <a:noFill/>
                    <a:ln w="9525">
                      <a:noFill/>
                      <a:miter lim="800000"/>
                      <a:headEnd/>
                      <a:tailEnd/>
                    </a:ln>
                  </pic:spPr>
                </pic:pic>
              </a:graphicData>
            </a:graphic>
          </wp:inline>
        </w:drawing>
      </w:r>
    </w:p>
    <w:p w:rsidR="000F4E4D" w:rsidRDefault="00653CAE" w:rsidP="0092414A">
      <w:pPr>
        <w:spacing w:line="312" w:lineRule="auto"/>
        <w:rPr>
          <w:rFonts w:eastAsia="Arial Unicode MS"/>
          <w:sz w:val="24"/>
        </w:rPr>
      </w:pPr>
      <w:r>
        <w:rPr>
          <w:rFonts w:eastAsia="Arial Unicode MS"/>
          <w:sz w:val="24"/>
        </w:rPr>
        <w:br w:type="page"/>
      </w:r>
      <w:r w:rsidR="000F4E4D">
        <w:rPr>
          <w:rFonts w:eastAsia="Arial Unicode MS"/>
          <w:sz w:val="24"/>
        </w:rPr>
        <w:lastRenderedPageBreak/>
        <w:t>Si evidenziano di seguito i dati congiunturali riepilogativi 2013 riferiti a Rimini, confrontabili con l’Emilia-Romagna:</w:t>
      </w:r>
    </w:p>
    <w:p w:rsidR="000F4E4D" w:rsidRPr="00AA35B5" w:rsidRDefault="000F4E4D" w:rsidP="00672DC7">
      <w:pPr>
        <w:spacing w:line="312" w:lineRule="auto"/>
        <w:ind w:firstLine="709"/>
        <w:rPr>
          <w:rFonts w:eastAsia="Arial Unicode MS"/>
          <w:sz w:val="24"/>
        </w:rPr>
      </w:pPr>
    </w:p>
    <w:tbl>
      <w:tblPr>
        <w:tblStyle w:val="Grigliatabella"/>
        <w:tblpPr w:vertAnchor="text" w:horzAnchor="margin" w:tblpXSpec="center"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531"/>
        <w:gridCol w:w="1588"/>
        <w:gridCol w:w="3062"/>
        <w:gridCol w:w="113"/>
        <w:gridCol w:w="3062"/>
      </w:tblGrid>
      <w:tr w:rsidR="004C1171" w:rsidTr="004C1171">
        <w:trPr>
          <w:cantSplit/>
        </w:trPr>
        <w:tc>
          <w:tcPr>
            <w:tcW w:w="9356" w:type="dxa"/>
            <w:gridSpan w:val="5"/>
          </w:tcPr>
          <w:p w:rsidR="004C1171" w:rsidRDefault="004C1171" w:rsidP="004C1171">
            <w:pPr>
              <w:pStyle w:val="figuretitolo"/>
            </w:pPr>
            <w:r>
              <w:t>TAV. 18 - Congiuntura. Riepilogo annuale</w:t>
            </w:r>
          </w:p>
        </w:tc>
      </w:tr>
      <w:tr w:rsidR="004C1171" w:rsidTr="004C1171">
        <w:trPr>
          <w:cantSplit/>
        </w:trPr>
        <w:tc>
          <w:tcPr>
            <w:tcW w:w="1531" w:type="dxa"/>
          </w:tcPr>
          <w:p w:rsidR="004C1171" w:rsidRDefault="004C1171" w:rsidP="004C1171">
            <w:pPr>
              <w:pStyle w:val="figuresottotitolo"/>
            </w:pPr>
          </w:p>
        </w:tc>
        <w:tc>
          <w:tcPr>
            <w:tcW w:w="1588" w:type="dxa"/>
          </w:tcPr>
          <w:p w:rsidR="004C1171" w:rsidRDefault="004C1171" w:rsidP="004C1171">
            <w:pPr>
              <w:pStyle w:val="figuresottotitolo"/>
            </w:pPr>
          </w:p>
        </w:tc>
        <w:tc>
          <w:tcPr>
            <w:tcW w:w="3062" w:type="dxa"/>
            <w:shd w:val="clear" w:color="auto" w:fill="F2F2F2" w:themeFill="background1" w:themeFillShade="F2"/>
          </w:tcPr>
          <w:p w:rsidR="004C1171" w:rsidRDefault="004C1171" w:rsidP="004C1171">
            <w:pPr>
              <w:pStyle w:val="figuresottotitolo"/>
            </w:pPr>
            <w:r>
              <w:t>Rimini</w:t>
            </w:r>
          </w:p>
        </w:tc>
        <w:tc>
          <w:tcPr>
            <w:tcW w:w="113" w:type="dxa"/>
          </w:tcPr>
          <w:p w:rsidR="004C1171" w:rsidRDefault="004C1171" w:rsidP="004C1171">
            <w:pPr>
              <w:pStyle w:val="figuresottotitolo"/>
            </w:pPr>
          </w:p>
        </w:tc>
        <w:tc>
          <w:tcPr>
            <w:tcW w:w="3062" w:type="dxa"/>
            <w:shd w:val="clear" w:color="auto" w:fill="F2F2F2" w:themeFill="background1" w:themeFillShade="F2"/>
          </w:tcPr>
          <w:p w:rsidR="004C1171" w:rsidRDefault="004C1171" w:rsidP="004C1171">
            <w:pPr>
              <w:pStyle w:val="figuresottotitolo"/>
            </w:pPr>
            <w:r w:rsidRPr="001D4310">
              <w:t>Emilia-Romagna</w:t>
            </w:r>
          </w:p>
        </w:tc>
      </w:tr>
      <w:tr w:rsidR="004C1171" w:rsidTr="004C1171">
        <w:trPr>
          <w:cantSplit/>
          <w:trHeight w:hRule="exact" w:val="57"/>
        </w:trPr>
        <w:tc>
          <w:tcPr>
            <w:tcW w:w="1531" w:type="dxa"/>
            <w:shd w:val="clear" w:color="auto" w:fill="D9D9D9" w:themeFill="background1" w:themeFillShade="D9"/>
            <w:vAlign w:val="center"/>
          </w:tcPr>
          <w:p w:rsidR="004C1171" w:rsidRDefault="004C1171" w:rsidP="004C1171">
            <w:pPr>
              <w:pStyle w:val="tabetic"/>
            </w:pPr>
          </w:p>
        </w:tc>
        <w:tc>
          <w:tcPr>
            <w:tcW w:w="1588" w:type="dxa"/>
            <w:shd w:val="clear" w:color="auto" w:fill="D9D9D9" w:themeFill="background1" w:themeFillShade="D9"/>
            <w:vAlign w:val="center"/>
          </w:tcPr>
          <w:p w:rsidR="004C1171" w:rsidRDefault="004C1171" w:rsidP="004C1171">
            <w:pPr>
              <w:pStyle w:val="tabetic"/>
            </w:pPr>
          </w:p>
        </w:tc>
        <w:tc>
          <w:tcPr>
            <w:tcW w:w="3062" w:type="dxa"/>
            <w:shd w:val="clear" w:color="auto" w:fill="D9D9D9" w:themeFill="background1" w:themeFillShade="D9"/>
            <w:vAlign w:val="center"/>
          </w:tcPr>
          <w:p w:rsidR="004C1171" w:rsidRDefault="004C1171" w:rsidP="004C1171">
            <w:pPr>
              <w:pStyle w:val="tabetic"/>
            </w:pPr>
          </w:p>
        </w:tc>
        <w:tc>
          <w:tcPr>
            <w:tcW w:w="113" w:type="dxa"/>
            <w:shd w:val="clear" w:color="auto" w:fill="D9D9D9" w:themeFill="background1" w:themeFillShade="D9"/>
            <w:vAlign w:val="center"/>
          </w:tcPr>
          <w:p w:rsidR="004C1171" w:rsidRDefault="004C1171" w:rsidP="004C1171">
            <w:pPr>
              <w:pStyle w:val="figure"/>
            </w:pPr>
          </w:p>
        </w:tc>
        <w:tc>
          <w:tcPr>
            <w:tcW w:w="3062" w:type="dxa"/>
            <w:shd w:val="clear" w:color="auto" w:fill="D9D9D9" w:themeFill="background1" w:themeFillShade="D9"/>
            <w:vAlign w:val="center"/>
          </w:tcPr>
          <w:p w:rsidR="004C1171" w:rsidRDefault="004C1171" w:rsidP="004C1171">
            <w:pPr>
              <w:pStyle w:val="figure"/>
            </w:pPr>
          </w:p>
        </w:tc>
      </w:tr>
      <w:tr w:rsidR="004C1171" w:rsidTr="004C1171">
        <w:trPr>
          <w:cantSplit/>
          <w:trHeight w:val="1985"/>
        </w:trPr>
        <w:tc>
          <w:tcPr>
            <w:tcW w:w="1531" w:type="dxa"/>
            <w:vAlign w:val="center"/>
          </w:tcPr>
          <w:p w:rsidR="004C1171" w:rsidRDefault="004C1171" w:rsidP="004C1171">
            <w:pPr>
              <w:pStyle w:val="tabetic"/>
            </w:pPr>
            <w:r>
              <w:t>Industria</w:t>
            </w:r>
          </w:p>
        </w:tc>
        <w:tc>
          <w:tcPr>
            <w:tcW w:w="1588" w:type="dxa"/>
            <w:vAlign w:val="center"/>
          </w:tcPr>
          <w:p w:rsidR="004C1171" w:rsidRDefault="004C1171" w:rsidP="004C1171">
            <w:pPr>
              <w:pStyle w:val="figure"/>
            </w:pPr>
            <w:r w:rsidRPr="000D30F1">
              <w:rPr>
                <w:noProof/>
              </w:rPr>
              <w:drawing>
                <wp:inline distT="0" distB="0" distL="0" distR="0">
                  <wp:extent cx="2879425" cy="1440000"/>
                  <wp:effectExtent l="19050" t="0" r="0" b="0"/>
                  <wp:docPr id="122"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c>
          <w:tcPr>
            <w:tcW w:w="3062" w:type="dxa"/>
            <w:shd w:val="clear" w:color="auto" w:fill="F2F2F2" w:themeFill="background1" w:themeFillShade="F2"/>
            <w:vAlign w:val="center"/>
          </w:tcPr>
          <w:p w:rsidR="004C1171" w:rsidRDefault="004C1171" w:rsidP="004C1171">
            <w:pPr>
              <w:pStyle w:val="figure"/>
            </w:pPr>
            <w:r w:rsidRPr="000D30F1">
              <w:rPr>
                <w:noProof/>
              </w:rPr>
              <w:drawing>
                <wp:inline distT="0" distB="0" distL="0" distR="0">
                  <wp:extent cx="1871932" cy="1440000"/>
                  <wp:effectExtent l="0" t="0" r="0" b="0"/>
                  <wp:docPr id="123"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c>
          <w:tcPr>
            <w:tcW w:w="113" w:type="dxa"/>
            <w:vAlign w:val="center"/>
          </w:tcPr>
          <w:p w:rsidR="004C1171" w:rsidRDefault="004C1171" w:rsidP="004C1171">
            <w:pPr>
              <w:pStyle w:val="figure"/>
            </w:pPr>
          </w:p>
        </w:tc>
        <w:tc>
          <w:tcPr>
            <w:tcW w:w="3062" w:type="dxa"/>
            <w:shd w:val="clear" w:color="auto" w:fill="F2F2F2" w:themeFill="background1" w:themeFillShade="F2"/>
            <w:vAlign w:val="center"/>
          </w:tcPr>
          <w:p w:rsidR="004C1171" w:rsidRDefault="004C1171" w:rsidP="004C1171">
            <w:pPr>
              <w:pStyle w:val="figure"/>
            </w:pPr>
            <w:r w:rsidRPr="000D30F1">
              <w:rPr>
                <w:noProof/>
              </w:rPr>
              <w:drawing>
                <wp:inline distT="0" distB="0" distL="0" distR="0">
                  <wp:extent cx="1871932" cy="1440000"/>
                  <wp:effectExtent l="0" t="0" r="0" b="0"/>
                  <wp:docPr id="124"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r w:rsidR="004C1171" w:rsidTr="004C1171">
        <w:trPr>
          <w:cantSplit/>
          <w:trHeight w:hRule="exact" w:val="57"/>
        </w:trPr>
        <w:tc>
          <w:tcPr>
            <w:tcW w:w="1531" w:type="dxa"/>
            <w:shd w:val="clear" w:color="auto" w:fill="D9D9D9" w:themeFill="background1" w:themeFillShade="D9"/>
            <w:vAlign w:val="center"/>
          </w:tcPr>
          <w:p w:rsidR="004C1171" w:rsidRDefault="004C1171" w:rsidP="004C1171">
            <w:pPr>
              <w:pStyle w:val="tabetic"/>
            </w:pPr>
          </w:p>
        </w:tc>
        <w:tc>
          <w:tcPr>
            <w:tcW w:w="1588" w:type="dxa"/>
            <w:shd w:val="clear" w:color="auto" w:fill="D9D9D9" w:themeFill="background1" w:themeFillShade="D9"/>
            <w:vAlign w:val="center"/>
          </w:tcPr>
          <w:p w:rsidR="004C1171" w:rsidRDefault="004C1171" w:rsidP="004C1171">
            <w:pPr>
              <w:pStyle w:val="tabetic"/>
            </w:pPr>
          </w:p>
        </w:tc>
        <w:tc>
          <w:tcPr>
            <w:tcW w:w="3062" w:type="dxa"/>
            <w:shd w:val="clear" w:color="auto" w:fill="D9D9D9" w:themeFill="background1" w:themeFillShade="D9"/>
            <w:vAlign w:val="center"/>
          </w:tcPr>
          <w:p w:rsidR="004C1171" w:rsidRDefault="004C1171" w:rsidP="004C1171">
            <w:pPr>
              <w:pStyle w:val="tabetic"/>
            </w:pPr>
          </w:p>
        </w:tc>
        <w:tc>
          <w:tcPr>
            <w:tcW w:w="113" w:type="dxa"/>
            <w:shd w:val="clear" w:color="auto" w:fill="D9D9D9" w:themeFill="background1" w:themeFillShade="D9"/>
            <w:vAlign w:val="center"/>
          </w:tcPr>
          <w:p w:rsidR="004C1171" w:rsidRDefault="004C1171" w:rsidP="004C1171">
            <w:pPr>
              <w:pStyle w:val="figure"/>
            </w:pPr>
          </w:p>
        </w:tc>
        <w:tc>
          <w:tcPr>
            <w:tcW w:w="3062" w:type="dxa"/>
            <w:shd w:val="clear" w:color="auto" w:fill="D9D9D9" w:themeFill="background1" w:themeFillShade="D9"/>
            <w:vAlign w:val="center"/>
          </w:tcPr>
          <w:p w:rsidR="004C1171" w:rsidRDefault="004C1171" w:rsidP="004C1171">
            <w:pPr>
              <w:pStyle w:val="figure"/>
            </w:pPr>
          </w:p>
        </w:tc>
      </w:tr>
      <w:tr w:rsidR="004C1171" w:rsidTr="004C1171">
        <w:trPr>
          <w:cantSplit/>
          <w:trHeight w:hRule="exact" w:val="567"/>
        </w:trPr>
        <w:tc>
          <w:tcPr>
            <w:tcW w:w="1531" w:type="dxa"/>
            <w:vAlign w:val="center"/>
          </w:tcPr>
          <w:p w:rsidR="004C1171" w:rsidRDefault="004C1171" w:rsidP="004C1171">
            <w:pPr>
              <w:pStyle w:val="tabetic"/>
            </w:pPr>
            <w:r>
              <w:t>Artigianato</w:t>
            </w:r>
          </w:p>
        </w:tc>
        <w:tc>
          <w:tcPr>
            <w:tcW w:w="1588" w:type="dxa"/>
            <w:vAlign w:val="center"/>
          </w:tcPr>
          <w:p w:rsidR="004C1171" w:rsidRDefault="004C1171" w:rsidP="004C1171">
            <w:pPr>
              <w:pStyle w:val="tabnum"/>
            </w:pPr>
            <w:r>
              <w:t>Produzione(1)</w:t>
            </w:r>
            <w:r>
              <w:tab/>
            </w:r>
          </w:p>
        </w:tc>
        <w:tc>
          <w:tcPr>
            <w:tcW w:w="3062" w:type="dxa"/>
            <w:shd w:val="clear" w:color="auto" w:fill="F2F2F2" w:themeFill="background1" w:themeFillShade="F2"/>
            <w:vAlign w:val="center"/>
          </w:tcPr>
          <w:p w:rsidR="004C1171" w:rsidRDefault="004C1171" w:rsidP="004C1171">
            <w:pPr>
              <w:pStyle w:val="figure"/>
            </w:pPr>
            <w:r w:rsidRPr="00331555">
              <w:rPr>
                <w:noProof/>
              </w:rPr>
              <w:drawing>
                <wp:inline distT="0" distB="0" distL="0" distR="0">
                  <wp:extent cx="1871932" cy="360000"/>
                  <wp:effectExtent l="0" t="0" r="0" b="0"/>
                  <wp:docPr id="125"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c>
          <w:tcPr>
            <w:tcW w:w="113" w:type="dxa"/>
            <w:vAlign w:val="center"/>
          </w:tcPr>
          <w:p w:rsidR="004C1171" w:rsidRDefault="004C1171" w:rsidP="004C1171">
            <w:pPr>
              <w:pStyle w:val="figure"/>
            </w:pPr>
          </w:p>
        </w:tc>
        <w:tc>
          <w:tcPr>
            <w:tcW w:w="3062" w:type="dxa"/>
            <w:shd w:val="clear" w:color="auto" w:fill="F2F2F2" w:themeFill="background1" w:themeFillShade="F2"/>
            <w:vAlign w:val="center"/>
          </w:tcPr>
          <w:p w:rsidR="004C1171" w:rsidRDefault="004C1171" w:rsidP="004C1171">
            <w:pPr>
              <w:pStyle w:val="figure"/>
            </w:pPr>
            <w:r w:rsidRPr="0084321F">
              <w:rPr>
                <w:noProof/>
              </w:rPr>
              <w:drawing>
                <wp:inline distT="0" distB="0" distL="0" distR="0">
                  <wp:extent cx="1871932" cy="360000"/>
                  <wp:effectExtent l="0" t="0" r="0" b="0"/>
                  <wp:docPr id="126"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r w:rsidR="004C1171" w:rsidTr="004C1171">
        <w:trPr>
          <w:cantSplit/>
          <w:trHeight w:hRule="exact" w:val="57"/>
        </w:trPr>
        <w:tc>
          <w:tcPr>
            <w:tcW w:w="1531" w:type="dxa"/>
            <w:shd w:val="clear" w:color="auto" w:fill="D9D9D9" w:themeFill="background1" w:themeFillShade="D9"/>
            <w:vAlign w:val="center"/>
          </w:tcPr>
          <w:p w:rsidR="004C1171" w:rsidRDefault="004C1171" w:rsidP="004C1171">
            <w:pPr>
              <w:pStyle w:val="tabetic"/>
            </w:pPr>
          </w:p>
        </w:tc>
        <w:tc>
          <w:tcPr>
            <w:tcW w:w="1588" w:type="dxa"/>
            <w:shd w:val="clear" w:color="auto" w:fill="D9D9D9" w:themeFill="background1" w:themeFillShade="D9"/>
            <w:vAlign w:val="center"/>
          </w:tcPr>
          <w:p w:rsidR="004C1171" w:rsidRDefault="004C1171" w:rsidP="004C1171">
            <w:pPr>
              <w:pStyle w:val="tabetic"/>
            </w:pPr>
          </w:p>
        </w:tc>
        <w:tc>
          <w:tcPr>
            <w:tcW w:w="3062" w:type="dxa"/>
            <w:shd w:val="clear" w:color="auto" w:fill="D9D9D9" w:themeFill="background1" w:themeFillShade="D9"/>
            <w:vAlign w:val="center"/>
          </w:tcPr>
          <w:p w:rsidR="004C1171" w:rsidRDefault="004C1171" w:rsidP="004C1171">
            <w:pPr>
              <w:pStyle w:val="tabetic"/>
            </w:pPr>
          </w:p>
        </w:tc>
        <w:tc>
          <w:tcPr>
            <w:tcW w:w="113" w:type="dxa"/>
            <w:shd w:val="clear" w:color="auto" w:fill="D9D9D9" w:themeFill="background1" w:themeFillShade="D9"/>
            <w:vAlign w:val="center"/>
          </w:tcPr>
          <w:p w:rsidR="004C1171" w:rsidRDefault="004C1171" w:rsidP="004C1171">
            <w:pPr>
              <w:pStyle w:val="figure"/>
            </w:pPr>
          </w:p>
        </w:tc>
        <w:tc>
          <w:tcPr>
            <w:tcW w:w="3062" w:type="dxa"/>
            <w:shd w:val="clear" w:color="auto" w:fill="D9D9D9" w:themeFill="background1" w:themeFillShade="D9"/>
            <w:vAlign w:val="center"/>
          </w:tcPr>
          <w:p w:rsidR="004C1171" w:rsidRDefault="004C1171" w:rsidP="004C1171">
            <w:pPr>
              <w:pStyle w:val="figure"/>
            </w:pPr>
          </w:p>
        </w:tc>
      </w:tr>
      <w:tr w:rsidR="004C1171" w:rsidTr="004C1171">
        <w:trPr>
          <w:cantSplit/>
          <w:trHeight w:hRule="exact" w:val="567"/>
        </w:trPr>
        <w:tc>
          <w:tcPr>
            <w:tcW w:w="1531" w:type="dxa"/>
            <w:vAlign w:val="center"/>
          </w:tcPr>
          <w:p w:rsidR="004C1171" w:rsidRDefault="004C1171" w:rsidP="004C1171">
            <w:pPr>
              <w:pStyle w:val="tabetic"/>
            </w:pPr>
            <w:r>
              <w:t>Costruzioni</w:t>
            </w:r>
          </w:p>
        </w:tc>
        <w:tc>
          <w:tcPr>
            <w:tcW w:w="1588" w:type="dxa"/>
            <w:vAlign w:val="center"/>
          </w:tcPr>
          <w:p w:rsidR="004C1171" w:rsidRDefault="004C1171" w:rsidP="004C1171">
            <w:pPr>
              <w:pStyle w:val="tabnum"/>
            </w:pPr>
            <w:r>
              <w:t>Volume d’affari (1)</w:t>
            </w:r>
            <w:r>
              <w:tab/>
            </w:r>
          </w:p>
        </w:tc>
        <w:tc>
          <w:tcPr>
            <w:tcW w:w="3062" w:type="dxa"/>
            <w:shd w:val="clear" w:color="auto" w:fill="F2F2F2" w:themeFill="background1" w:themeFillShade="F2"/>
            <w:vAlign w:val="center"/>
          </w:tcPr>
          <w:p w:rsidR="004C1171" w:rsidRDefault="004C1171" w:rsidP="004C1171">
            <w:pPr>
              <w:pStyle w:val="figure"/>
            </w:pPr>
            <w:r w:rsidRPr="00BA2DC7">
              <w:rPr>
                <w:noProof/>
              </w:rPr>
              <w:drawing>
                <wp:inline distT="0" distB="0" distL="0" distR="0">
                  <wp:extent cx="1870364" cy="360000"/>
                  <wp:effectExtent l="0" t="0" r="0" b="0"/>
                  <wp:docPr id="127"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c>
          <w:tcPr>
            <w:tcW w:w="113" w:type="dxa"/>
            <w:vAlign w:val="center"/>
          </w:tcPr>
          <w:p w:rsidR="004C1171" w:rsidRDefault="004C1171" w:rsidP="004C1171">
            <w:pPr>
              <w:pStyle w:val="figure"/>
            </w:pPr>
          </w:p>
        </w:tc>
        <w:tc>
          <w:tcPr>
            <w:tcW w:w="3062" w:type="dxa"/>
            <w:shd w:val="clear" w:color="auto" w:fill="F2F2F2" w:themeFill="background1" w:themeFillShade="F2"/>
            <w:vAlign w:val="center"/>
          </w:tcPr>
          <w:p w:rsidR="004C1171" w:rsidRDefault="004C1171" w:rsidP="004C1171">
            <w:pPr>
              <w:pStyle w:val="figure"/>
            </w:pPr>
            <w:r w:rsidRPr="00F34BE7">
              <w:rPr>
                <w:noProof/>
              </w:rPr>
              <w:drawing>
                <wp:inline distT="0" distB="0" distL="0" distR="0">
                  <wp:extent cx="1870364" cy="360000"/>
                  <wp:effectExtent l="0" t="0" r="0" b="0"/>
                  <wp:docPr id="225"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r w:rsidR="004C1171" w:rsidTr="004C1171">
        <w:trPr>
          <w:cantSplit/>
          <w:trHeight w:hRule="exact" w:val="57"/>
        </w:trPr>
        <w:tc>
          <w:tcPr>
            <w:tcW w:w="1531" w:type="dxa"/>
            <w:shd w:val="clear" w:color="auto" w:fill="D9D9D9" w:themeFill="background1" w:themeFillShade="D9"/>
            <w:vAlign w:val="center"/>
          </w:tcPr>
          <w:p w:rsidR="004C1171" w:rsidRDefault="004C1171" w:rsidP="004C1171">
            <w:pPr>
              <w:pStyle w:val="tabetic"/>
            </w:pPr>
          </w:p>
        </w:tc>
        <w:tc>
          <w:tcPr>
            <w:tcW w:w="1588" w:type="dxa"/>
            <w:shd w:val="clear" w:color="auto" w:fill="D9D9D9" w:themeFill="background1" w:themeFillShade="D9"/>
            <w:vAlign w:val="center"/>
          </w:tcPr>
          <w:p w:rsidR="004C1171" w:rsidRDefault="004C1171" w:rsidP="004C1171">
            <w:pPr>
              <w:pStyle w:val="tabetic"/>
            </w:pPr>
          </w:p>
        </w:tc>
        <w:tc>
          <w:tcPr>
            <w:tcW w:w="3062" w:type="dxa"/>
            <w:shd w:val="clear" w:color="auto" w:fill="D9D9D9" w:themeFill="background1" w:themeFillShade="D9"/>
            <w:vAlign w:val="center"/>
          </w:tcPr>
          <w:p w:rsidR="004C1171" w:rsidRDefault="004C1171" w:rsidP="004C1171">
            <w:pPr>
              <w:pStyle w:val="tabetic"/>
            </w:pPr>
          </w:p>
        </w:tc>
        <w:tc>
          <w:tcPr>
            <w:tcW w:w="113" w:type="dxa"/>
            <w:shd w:val="clear" w:color="auto" w:fill="D9D9D9" w:themeFill="background1" w:themeFillShade="D9"/>
            <w:vAlign w:val="center"/>
          </w:tcPr>
          <w:p w:rsidR="004C1171" w:rsidRDefault="004C1171" w:rsidP="004C1171">
            <w:pPr>
              <w:pStyle w:val="figure"/>
            </w:pPr>
          </w:p>
        </w:tc>
        <w:tc>
          <w:tcPr>
            <w:tcW w:w="3062" w:type="dxa"/>
            <w:shd w:val="clear" w:color="auto" w:fill="D9D9D9" w:themeFill="background1" w:themeFillShade="D9"/>
            <w:vAlign w:val="center"/>
          </w:tcPr>
          <w:p w:rsidR="004C1171" w:rsidRDefault="004C1171" w:rsidP="004C1171">
            <w:pPr>
              <w:pStyle w:val="figure"/>
            </w:pPr>
          </w:p>
        </w:tc>
      </w:tr>
      <w:tr w:rsidR="004C1171" w:rsidTr="004C1171">
        <w:trPr>
          <w:cantSplit/>
          <w:trHeight w:hRule="exact" w:val="567"/>
        </w:trPr>
        <w:tc>
          <w:tcPr>
            <w:tcW w:w="1531" w:type="dxa"/>
            <w:vAlign w:val="center"/>
          </w:tcPr>
          <w:p w:rsidR="004C1171" w:rsidRDefault="004C1171" w:rsidP="004C1171">
            <w:pPr>
              <w:pStyle w:val="tabetic"/>
            </w:pPr>
            <w:r>
              <w:t xml:space="preserve">Artigianato </w:t>
            </w:r>
            <w:r>
              <w:br/>
              <w:t>delle costruzioni</w:t>
            </w:r>
          </w:p>
        </w:tc>
        <w:tc>
          <w:tcPr>
            <w:tcW w:w="1588" w:type="dxa"/>
            <w:vAlign w:val="center"/>
          </w:tcPr>
          <w:p w:rsidR="004C1171" w:rsidRDefault="004C1171" w:rsidP="004C1171">
            <w:pPr>
              <w:pStyle w:val="tabnum"/>
            </w:pPr>
            <w:r>
              <w:t>Volume d’affari (1)</w:t>
            </w:r>
            <w:r>
              <w:tab/>
            </w:r>
          </w:p>
        </w:tc>
        <w:tc>
          <w:tcPr>
            <w:tcW w:w="3062" w:type="dxa"/>
            <w:shd w:val="clear" w:color="auto" w:fill="F2F2F2" w:themeFill="background1" w:themeFillShade="F2"/>
            <w:vAlign w:val="center"/>
          </w:tcPr>
          <w:p w:rsidR="004C1171" w:rsidRDefault="004C1171" w:rsidP="004C1171">
            <w:pPr>
              <w:pStyle w:val="figure"/>
            </w:pPr>
            <w:r w:rsidRPr="00BA2DC7">
              <w:rPr>
                <w:noProof/>
              </w:rPr>
              <w:drawing>
                <wp:inline distT="0" distB="0" distL="0" distR="0">
                  <wp:extent cx="1870364" cy="360000"/>
                  <wp:effectExtent l="0" t="0" r="0" b="0"/>
                  <wp:docPr id="226"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c>
          <w:tcPr>
            <w:tcW w:w="113" w:type="dxa"/>
            <w:vAlign w:val="center"/>
          </w:tcPr>
          <w:p w:rsidR="004C1171" w:rsidRDefault="004C1171" w:rsidP="004C1171">
            <w:pPr>
              <w:pStyle w:val="figure"/>
            </w:pPr>
          </w:p>
        </w:tc>
        <w:tc>
          <w:tcPr>
            <w:tcW w:w="3062" w:type="dxa"/>
            <w:shd w:val="clear" w:color="auto" w:fill="F2F2F2" w:themeFill="background1" w:themeFillShade="F2"/>
            <w:vAlign w:val="center"/>
          </w:tcPr>
          <w:p w:rsidR="004C1171" w:rsidRDefault="004C1171" w:rsidP="004C1171">
            <w:pPr>
              <w:pStyle w:val="figure"/>
            </w:pPr>
            <w:r w:rsidRPr="00F34BE7">
              <w:rPr>
                <w:noProof/>
              </w:rPr>
              <w:drawing>
                <wp:inline distT="0" distB="0" distL="0" distR="0">
                  <wp:extent cx="1870364" cy="360000"/>
                  <wp:effectExtent l="0" t="0" r="0" b="0"/>
                  <wp:docPr id="227"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r>
      <w:tr w:rsidR="004C1171" w:rsidTr="004C1171">
        <w:trPr>
          <w:cantSplit/>
          <w:trHeight w:hRule="exact" w:val="57"/>
        </w:trPr>
        <w:tc>
          <w:tcPr>
            <w:tcW w:w="1531" w:type="dxa"/>
            <w:shd w:val="clear" w:color="auto" w:fill="D9D9D9" w:themeFill="background1" w:themeFillShade="D9"/>
            <w:vAlign w:val="center"/>
          </w:tcPr>
          <w:p w:rsidR="004C1171" w:rsidRDefault="004C1171" w:rsidP="004C1171">
            <w:pPr>
              <w:pStyle w:val="tabetic"/>
            </w:pPr>
          </w:p>
        </w:tc>
        <w:tc>
          <w:tcPr>
            <w:tcW w:w="1588" w:type="dxa"/>
            <w:shd w:val="clear" w:color="auto" w:fill="D9D9D9" w:themeFill="background1" w:themeFillShade="D9"/>
            <w:vAlign w:val="center"/>
          </w:tcPr>
          <w:p w:rsidR="004C1171" w:rsidRDefault="004C1171" w:rsidP="004C1171">
            <w:pPr>
              <w:pStyle w:val="tabetic"/>
            </w:pPr>
          </w:p>
        </w:tc>
        <w:tc>
          <w:tcPr>
            <w:tcW w:w="3062" w:type="dxa"/>
            <w:shd w:val="clear" w:color="auto" w:fill="D9D9D9" w:themeFill="background1" w:themeFillShade="D9"/>
            <w:vAlign w:val="center"/>
          </w:tcPr>
          <w:p w:rsidR="004C1171" w:rsidRDefault="004C1171" w:rsidP="004C1171">
            <w:pPr>
              <w:pStyle w:val="tabetic"/>
            </w:pPr>
          </w:p>
        </w:tc>
        <w:tc>
          <w:tcPr>
            <w:tcW w:w="113" w:type="dxa"/>
            <w:shd w:val="clear" w:color="auto" w:fill="D9D9D9" w:themeFill="background1" w:themeFillShade="D9"/>
            <w:vAlign w:val="center"/>
          </w:tcPr>
          <w:p w:rsidR="004C1171" w:rsidRDefault="004C1171" w:rsidP="004C1171">
            <w:pPr>
              <w:pStyle w:val="figure"/>
            </w:pPr>
          </w:p>
        </w:tc>
        <w:tc>
          <w:tcPr>
            <w:tcW w:w="3062" w:type="dxa"/>
            <w:shd w:val="clear" w:color="auto" w:fill="D9D9D9" w:themeFill="background1" w:themeFillShade="D9"/>
            <w:vAlign w:val="center"/>
          </w:tcPr>
          <w:p w:rsidR="004C1171" w:rsidRDefault="004C1171" w:rsidP="004C1171">
            <w:pPr>
              <w:pStyle w:val="figure"/>
            </w:pPr>
          </w:p>
        </w:tc>
      </w:tr>
      <w:tr w:rsidR="004C1171" w:rsidTr="004C1171">
        <w:trPr>
          <w:cantSplit/>
          <w:trHeight w:hRule="exact" w:val="567"/>
        </w:trPr>
        <w:tc>
          <w:tcPr>
            <w:tcW w:w="1531" w:type="dxa"/>
            <w:vAlign w:val="center"/>
          </w:tcPr>
          <w:p w:rsidR="004C1171" w:rsidRDefault="004C1171" w:rsidP="004C1171">
            <w:pPr>
              <w:pStyle w:val="tabetic"/>
            </w:pPr>
            <w:r>
              <w:t xml:space="preserve">Commercio </w:t>
            </w:r>
            <w:r>
              <w:br/>
              <w:t>al dettaglio</w:t>
            </w:r>
          </w:p>
        </w:tc>
        <w:tc>
          <w:tcPr>
            <w:tcW w:w="1588" w:type="dxa"/>
            <w:vAlign w:val="center"/>
          </w:tcPr>
          <w:p w:rsidR="004C1171" w:rsidRDefault="004C1171" w:rsidP="004C1171">
            <w:pPr>
              <w:pStyle w:val="tabnum"/>
            </w:pPr>
            <w:r>
              <w:t>Vendite (1)</w:t>
            </w:r>
            <w:r>
              <w:tab/>
            </w:r>
          </w:p>
        </w:tc>
        <w:tc>
          <w:tcPr>
            <w:tcW w:w="3062" w:type="dxa"/>
            <w:shd w:val="clear" w:color="auto" w:fill="F2F2F2" w:themeFill="background1" w:themeFillShade="F2"/>
            <w:vAlign w:val="center"/>
          </w:tcPr>
          <w:p w:rsidR="004C1171" w:rsidRDefault="004C1171" w:rsidP="004C1171">
            <w:pPr>
              <w:pStyle w:val="figure"/>
            </w:pPr>
            <w:r w:rsidRPr="00BA2DC7">
              <w:rPr>
                <w:noProof/>
              </w:rPr>
              <w:drawing>
                <wp:inline distT="0" distB="0" distL="0" distR="0">
                  <wp:extent cx="1870364" cy="360000"/>
                  <wp:effectExtent l="0" t="0" r="0" b="0"/>
                  <wp:docPr id="22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c>
          <w:tcPr>
            <w:tcW w:w="113" w:type="dxa"/>
            <w:vAlign w:val="center"/>
          </w:tcPr>
          <w:p w:rsidR="004C1171" w:rsidRDefault="004C1171" w:rsidP="004C1171">
            <w:pPr>
              <w:pStyle w:val="figure"/>
            </w:pPr>
          </w:p>
        </w:tc>
        <w:tc>
          <w:tcPr>
            <w:tcW w:w="3062" w:type="dxa"/>
            <w:shd w:val="clear" w:color="auto" w:fill="F2F2F2" w:themeFill="background1" w:themeFillShade="F2"/>
            <w:vAlign w:val="center"/>
          </w:tcPr>
          <w:p w:rsidR="004C1171" w:rsidRDefault="004C1171" w:rsidP="004C1171">
            <w:pPr>
              <w:pStyle w:val="figure"/>
            </w:pPr>
            <w:r w:rsidRPr="00A177D6">
              <w:rPr>
                <w:noProof/>
              </w:rPr>
              <w:drawing>
                <wp:inline distT="0" distB="0" distL="0" distR="0">
                  <wp:extent cx="1870364" cy="360000"/>
                  <wp:effectExtent l="0" t="0" r="0" b="0"/>
                  <wp:docPr id="229"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r>
      <w:tr w:rsidR="004C1171" w:rsidTr="004C1171">
        <w:trPr>
          <w:cantSplit/>
          <w:trHeight w:hRule="exact" w:val="57"/>
        </w:trPr>
        <w:tc>
          <w:tcPr>
            <w:tcW w:w="1531" w:type="dxa"/>
            <w:shd w:val="clear" w:color="auto" w:fill="D9D9D9" w:themeFill="background1" w:themeFillShade="D9"/>
            <w:vAlign w:val="center"/>
          </w:tcPr>
          <w:p w:rsidR="004C1171" w:rsidRDefault="004C1171" w:rsidP="004C1171">
            <w:pPr>
              <w:pStyle w:val="tabetic"/>
            </w:pPr>
          </w:p>
        </w:tc>
        <w:tc>
          <w:tcPr>
            <w:tcW w:w="1588" w:type="dxa"/>
            <w:shd w:val="clear" w:color="auto" w:fill="D9D9D9" w:themeFill="background1" w:themeFillShade="D9"/>
            <w:vAlign w:val="center"/>
          </w:tcPr>
          <w:p w:rsidR="004C1171" w:rsidRDefault="004C1171" w:rsidP="004C1171">
            <w:pPr>
              <w:pStyle w:val="tabetic"/>
            </w:pPr>
          </w:p>
        </w:tc>
        <w:tc>
          <w:tcPr>
            <w:tcW w:w="3062" w:type="dxa"/>
            <w:shd w:val="clear" w:color="auto" w:fill="D9D9D9" w:themeFill="background1" w:themeFillShade="D9"/>
            <w:vAlign w:val="center"/>
          </w:tcPr>
          <w:p w:rsidR="004C1171" w:rsidRDefault="004C1171" w:rsidP="004C1171">
            <w:pPr>
              <w:pStyle w:val="tabetic"/>
            </w:pPr>
          </w:p>
        </w:tc>
        <w:tc>
          <w:tcPr>
            <w:tcW w:w="113" w:type="dxa"/>
            <w:shd w:val="clear" w:color="auto" w:fill="D9D9D9" w:themeFill="background1" w:themeFillShade="D9"/>
            <w:vAlign w:val="center"/>
          </w:tcPr>
          <w:p w:rsidR="004C1171" w:rsidRDefault="004C1171" w:rsidP="004C1171">
            <w:pPr>
              <w:pStyle w:val="figure"/>
            </w:pPr>
          </w:p>
        </w:tc>
        <w:tc>
          <w:tcPr>
            <w:tcW w:w="3062" w:type="dxa"/>
            <w:shd w:val="clear" w:color="auto" w:fill="D9D9D9" w:themeFill="background1" w:themeFillShade="D9"/>
            <w:vAlign w:val="center"/>
          </w:tcPr>
          <w:p w:rsidR="004C1171" w:rsidRDefault="004C1171" w:rsidP="004C1171">
            <w:pPr>
              <w:pStyle w:val="figure"/>
            </w:pPr>
          </w:p>
        </w:tc>
      </w:tr>
      <w:tr w:rsidR="004C1171" w:rsidTr="004C1171">
        <w:trPr>
          <w:cantSplit/>
          <w:trHeight w:hRule="exact" w:val="57"/>
        </w:trPr>
        <w:tc>
          <w:tcPr>
            <w:tcW w:w="1531" w:type="dxa"/>
            <w:vAlign w:val="center"/>
          </w:tcPr>
          <w:p w:rsidR="004C1171" w:rsidRDefault="004C1171" w:rsidP="004C1171">
            <w:pPr>
              <w:pStyle w:val="tabetic"/>
            </w:pPr>
          </w:p>
        </w:tc>
        <w:tc>
          <w:tcPr>
            <w:tcW w:w="1588" w:type="dxa"/>
            <w:vAlign w:val="center"/>
          </w:tcPr>
          <w:p w:rsidR="004C1171" w:rsidRDefault="004C1171" w:rsidP="004C1171">
            <w:pPr>
              <w:pStyle w:val="tabetic"/>
            </w:pPr>
          </w:p>
        </w:tc>
        <w:tc>
          <w:tcPr>
            <w:tcW w:w="3062" w:type="dxa"/>
            <w:vAlign w:val="center"/>
          </w:tcPr>
          <w:p w:rsidR="004C1171" w:rsidRDefault="004C1171" w:rsidP="004C1171">
            <w:pPr>
              <w:pStyle w:val="tabetic"/>
            </w:pPr>
          </w:p>
        </w:tc>
        <w:tc>
          <w:tcPr>
            <w:tcW w:w="3175" w:type="dxa"/>
            <w:gridSpan w:val="2"/>
            <w:vAlign w:val="center"/>
          </w:tcPr>
          <w:p w:rsidR="004C1171" w:rsidRDefault="004C1171" w:rsidP="004C1171">
            <w:pPr>
              <w:pStyle w:val="figure"/>
            </w:pPr>
          </w:p>
        </w:tc>
      </w:tr>
      <w:tr w:rsidR="004C1171" w:rsidTr="004C1171">
        <w:trPr>
          <w:cantSplit/>
        </w:trPr>
        <w:tc>
          <w:tcPr>
            <w:tcW w:w="9356" w:type="dxa"/>
            <w:gridSpan w:val="5"/>
          </w:tcPr>
          <w:p w:rsidR="004C1171" w:rsidRDefault="004C1171" w:rsidP="004C1171">
            <w:pPr>
              <w:pStyle w:val="tabnote"/>
            </w:pPr>
            <w:r w:rsidRPr="009D09AB">
              <w:t xml:space="preserve">(1) </w:t>
            </w:r>
            <w:r w:rsidRPr="00045AE7">
              <w:t>Tasso di variazione rispetto a</w:t>
            </w:r>
            <w:r>
              <w:t>ll’</w:t>
            </w:r>
            <w:r w:rsidRPr="00045AE7">
              <w:t>anno precedente</w:t>
            </w:r>
            <w:r>
              <w:t>.</w:t>
            </w:r>
          </w:p>
          <w:p w:rsidR="004C1171" w:rsidRDefault="004C1171" w:rsidP="004C1171">
            <w:pPr>
              <w:pStyle w:val="figurefonte"/>
            </w:pPr>
            <w:r>
              <w:t>Fonte: Camera di commercio di Rimini, Unioncamere Emilia-Romagna, Unioncamere</w:t>
            </w:r>
          </w:p>
        </w:tc>
      </w:tr>
    </w:tbl>
    <w:p w:rsidR="00653CAE" w:rsidRDefault="00653CAE" w:rsidP="0038259F">
      <w:pPr>
        <w:spacing w:line="312" w:lineRule="auto"/>
        <w:ind w:firstLine="284"/>
        <w:rPr>
          <w:rFonts w:eastAsia="Arial Unicode MS"/>
          <w:sz w:val="24"/>
        </w:rPr>
      </w:pPr>
    </w:p>
    <w:p w:rsidR="000F4E4D" w:rsidRDefault="000F4E4D" w:rsidP="0038259F">
      <w:pPr>
        <w:spacing w:line="312" w:lineRule="auto"/>
        <w:ind w:firstLine="284"/>
        <w:rPr>
          <w:rFonts w:eastAsia="Arial Unicode MS"/>
          <w:sz w:val="24"/>
        </w:rPr>
      </w:pPr>
      <w:r>
        <w:rPr>
          <w:rFonts w:eastAsia="Arial Unicode MS"/>
          <w:sz w:val="24"/>
        </w:rPr>
        <w:t>Per quanto riguarda l’Italia, le variabili congiunturali complessivamente hanno registrato performance peggiori rispetto a Rimini e simili all’Emilia-Romagna (confronto 2013 sul 2012), mentre le variabili legate all’estero risultano migliori:</w:t>
      </w:r>
    </w:p>
    <w:p w:rsidR="000F4E4D" w:rsidRDefault="000F4E4D" w:rsidP="00672DC7">
      <w:pPr>
        <w:spacing w:line="312" w:lineRule="auto"/>
        <w:rPr>
          <w:rFonts w:eastAsia="Arial Unicode MS"/>
          <w:sz w:val="24"/>
        </w:rPr>
      </w:pPr>
      <w:r>
        <w:rPr>
          <w:rFonts w:eastAsia="Arial Unicode MS"/>
          <w:sz w:val="24"/>
        </w:rPr>
        <w:t>produzione –2,8%, fatturato (a prezzi correnti) –2,7%, ordini –2,6%;</w:t>
      </w:r>
    </w:p>
    <w:p w:rsidR="000F4E4D" w:rsidRDefault="000F4E4D" w:rsidP="00672DC7">
      <w:pPr>
        <w:spacing w:line="312" w:lineRule="auto"/>
        <w:rPr>
          <w:rFonts w:eastAsia="Arial Unicode MS"/>
          <w:sz w:val="24"/>
        </w:rPr>
      </w:pPr>
      <w:r>
        <w:rPr>
          <w:rFonts w:eastAsia="Arial Unicode MS"/>
          <w:sz w:val="24"/>
        </w:rPr>
        <w:t>fatturato estero +2,7%, ordinativi esteri +2,8%.</w:t>
      </w:r>
    </w:p>
    <w:p w:rsidR="000F4E4D" w:rsidRDefault="000F4E4D" w:rsidP="00672DC7">
      <w:pPr>
        <w:spacing w:line="312" w:lineRule="auto"/>
        <w:rPr>
          <w:rFonts w:eastAsia="Arial Unicode MS"/>
          <w:sz w:val="24"/>
        </w:rPr>
      </w:pPr>
    </w:p>
    <w:p w:rsidR="000F4E4D" w:rsidRDefault="000F4E4D" w:rsidP="0038259F">
      <w:pPr>
        <w:pBdr>
          <w:top w:val="single" w:sz="4" w:space="1" w:color="auto"/>
          <w:left w:val="single" w:sz="4" w:space="4" w:color="auto"/>
          <w:bottom w:val="single" w:sz="4" w:space="1" w:color="auto"/>
          <w:right w:val="single" w:sz="4" w:space="4" w:color="auto"/>
        </w:pBdr>
        <w:spacing w:line="312" w:lineRule="auto"/>
        <w:ind w:firstLine="284"/>
        <w:rPr>
          <w:rFonts w:eastAsia="Arial Unicode MS"/>
          <w:sz w:val="24"/>
        </w:rPr>
      </w:pPr>
      <w:r>
        <w:rPr>
          <w:rFonts w:eastAsia="Arial Unicode MS"/>
          <w:sz w:val="24"/>
        </w:rPr>
        <w:t>In conclusione: l’andamento complessivo della Congiuntura</w:t>
      </w:r>
      <w:r w:rsidRPr="0021533F">
        <w:rPr>
          <w:rFonts w:eastAsia="Arial Unicode MS"/>
          <w:sz w:val="24"/>
        </w:rPr>
        <w:t xml:space="preserve"> del terzo trimestre 2014 non mostra segnali positivi a Rimini ad eccezione del fatturato estero</w:t>
      </w:r>
      <w:r>
        <w:rPr>
          <w:rFonts w:eastAsia="Arial Unicode MS"/>
          <w:sz w:val="24"/>
        </w:rPr>
        <w:t xml:space="preserve"> del Manifatturiero</w:t>
      </w:r>
      <w:r w:rsidRPr="0021533F">
        <w:rPr>
          <w:rFonts w:eastAsia="Arial Unicode MS"/>
          <w:sz w:val="24"/>
        </w:rPr>
        <w:t xml:space="preserve">. </w:t>
      </w:r>
    </w:p>
    <w:p w:rsidR="000F4E4D" w:rsidRPr="0021533F" w:rsidRDefault="000F4E4D" w:rsidP="0038259F">
      <w:pPr>
        <w:pBdr>
          <w:top w:val="single" w:sz="4" w:space="1" w:color="auto"/>
          <w:left w:val="single" w:sz="4" w:space="4" w:color="auto"/>
          <w:bottom w:val="single" w:sz="4" w:space="1" w:color="auto"/>
          <w:right w:val="single" w:sz="4" w:space="4" w:color="auto"/>
        </w:pBdr>
        <w:spacing w:line="312" w:lineRule="auto"/>
        <w:ind w:firstLine="284"/>
        <w:rPr>
          <w:rFonts w:eastAsia="Arial Unicode MS"/>
          <w:sz w:val="24"/>
        </w:rPr>
      </w:pPr>
      <w:r w:rsidRPr="0021533F">
        <w:rPr>
          <w:rFonts w:eastAsia="Arial Unicode MS"/>
          <w:sz w:val="24"/>
        </w:rPr>
        <w:t xml:space="preserve">In generale tutti gli indicatori sono peggiori di quelli </w:t>
      </w:r>
      <w:proofErr w:type="spellStart"/>
      <w:r w:rsidRPr="0021533F">
        <w:rPr>
          <w:rFonts w:eastAsia="Arial Unicode MS"/>
          <w:sz w:val="24"/>
        </w:rPr>
        <w:t>emiliano-romagnoli</w:t>
      </w:r>
      <w:proofErr w:type="spellEnd"/>
      <w:r w:rsidRPr="0021533F">
        <w:rPr>
          <w:rFonts w:eastAsia="Arial Unicode MS"/>
          <w:sz w:val="24"/>
        </w:rPr>
        <w:t xml:space="preserve">, sia nelle intensità negative che positive. Mentre in </w:t>
      </w:r>
      <w:proofErr w:type="spellStart"/>
      <w:r w:rsidRPr="0021533F">
        <w:rPr>
          <w:rFonts w:eastAsia="Arial Unicode MS"/>
          <w:sz w:val="24"/>
        </w:rPr>
        <w:t>Emila-Romagna</w:t>
      </w:r>
      <w:proofErr w:type="spellEnd"/>
      <w:r w:rsidRPr="0021533F">
        <w:rPr>
          <w:rFonts w:eastAsia="Arial Unicode MS"/>
          <w:sz w:val="24"/>
        </w:rPr>
        <w:t xml:space="preserve"> e in Italia il fatturato e gli ordini esteri sono tendenzialmente in crescita, a Rimini gli ordini esteri sono tendenzialmente in calo e il fatturato estero in crescita, ma molto lieve.</w:t>
      </w:r>
    </w:p>
    <w:p w:rsidR="000F4E4D" w:rsidRPr="0021533F" w:rsidRDefault="000F4E4D" w:rsidP="0038259F">
      <w:pPr>
        <w:pBdr>
          <w:top w:val="single" w:sz="4" w:space="1" w:color="auto"/>
          <w:left w:val="single" w:sz="4" w:space="4" w:color="auto"/>
          <w:bottom w:val="single" w:sz="4" w:space="1" w:color="auto"/>
          <w:right w:val="single" w:sz="4" w:space="4" w:color="auto"/>
        </w:pBdr>
        <w:spacing w:line="312" w:lineRule="auto"/>
        <w:ind w:firstLine="284"/>
        <w:rPr>
          <w:rFonts w:eastAsia="Arial Unicode MS"/>
          <w:sz w:val="24"/>
        </w:rPr>
      </w:pPr>
      <w:r w:rsidRPr="0021533F">
        <w:rPr>
          <w:rFonts w:eastAsia="Arial Unicode MS"/>
          <w:sz w:val="24"/>
        </w:rPr>
        <w:t>Pe</w:t>
      </w:r>
      <w:r>
        <w:rPr>
          <w:rFonts w:eastAsia="Arial Unicode MS"/>
          <w:sz w:val="24"/>
        </w:rPr>
        <w:t>r quanto riguarda le variabili</w:t>
      </w:r>
      <w:r w:rsidRPr="0021533F">
        <w:rPr>
          <w:rFonts w:eastAsia="Arial Unicode MS"/>
          <w:sz w:val="24"/>
        </w:rPr>
        <w:t xml:space="preserve"> a livello nazionale, sono peggiori per Costruzioni e Commercio, mentre per la Manifattura sono più contenuti i cali di ordini, produzione e fatturato, ma più ampi gli incrementi di fatturato e ordini esteri, come è successo per il 2013.</w:t>
      </w:r>
    </w:p>
    <w:p w:rsidR="000F4E4D" w:rsidRPr="0031046E" w:rsidRDefault="000F4E4D" w:rsidP="00672DC7">
      <w:pPr>
        <w:spacing w:line="312" w:lineRule="auto"/>
        <w:rPr>
          <w:rFonts w:eastAsia="Arial Unicode MS"/>
          <w:sz w:val="24"/>
        </w:rPr>
      </w:pPr>
    </w:p>
    <w:p w:rsidR="00BC312F" w:rsidRPr="00DD233B" w:rsidRDefault="000F4E4D" w:rsidP="00BC312F">
      <w:pPr>
        <w:spacing w:line="312" w:lineRule="auto"/>
        <w:rPr>
          <w:color w:val="C00000"/>
          <w:sz w:val="28"/>
          <w:szCs w:val="28"/>
        </w:rPr>
      </w:pPr>
      <w:r>
        <w:rPr>
          <w:rFonts w:eastAsia="Arial Unicode MS"/>
        </w:rPr>
        <w:br w:type="page"/>
      </w:r>
      <w:r w:rsidR="00BC312F" w:rsidRPr="00DD233B">
        <w:rPr>
          <w:color w:val="C00000"/>
          <w:sz w:val="28"/>
          <w:szCs w:val="28"/>
        </w:rPr>
        <w:lastRenderedPageBreak/>
        <w:t>AGGIORNAMENTO IMPORT-EXPORT</w:t>
      </w:r>
    </w:p>
    <w:p w:rsidR="00BC312F" w:rsidRPr="00890FAF" w:rsidRDefault="00BC312F" w:rsidP="00BC312F">
      <w:pPr>
        <w:spacing w:line="312" w:lineRule="auto"/>
        <w:ind w:firstLine="284"/>
        <w:rPr>
          <w:rFonts w:eastAsia="Arial Unicode MS"/>
          <w:sz w:val="24"/>
          <w:highlight w:val="yellow"/>
        </w:rPr>
      </w:pPr>
    </w:p>
    <w:p w:rsidR="00BC312F" w:rsidRPr="005B25D0" w:rsidRDefault="00BC312F" w:rsidP="00BC312F">
      <w:pPr>
        <w:spacing w:line="312" w:lineRule="auto"/>
        <w:ind w:firstLine="284"/>
        <w:rPr>
          <w:rFonts w:eastAsia="Arial Unicode MS"/>
          <w:sz w:val="24"/>
        </w:rPr>
      </w:pPr>
      <w:r w:rsidRPr="005B25D0">
        <w:rPr>
          <w:rFonts w:eastAsia="Arial Unicode MS"/>
          <w:sz w:val="24"/>
        </w:rPr>
        <w:t xml:space="preserve">I dati, di fonte Istat, </w:t>
      </w:r>
      <w:r>
        <w:rPr>
          <w:rFonts w:eastAsia="Arial Unicode MS"/>
          <w:sz w:val="24"/>
        </w:rPr>
        <w:t>i</w:t>
      </w:r>
      <w:r w:rsidRPr="005B25D0">
        <w:rPr>
          <w:rFonts w:eastAsia="Arial Unicode MS"/>
          <w:sz w:val="24"/>
        </w:rPr>
        <w:t xml:space="preserve">n provincia di Rimini al 3° trimestre 2014 (gennaio-settembre) indicano </w:t>
      </w:r>
      <w:r>
        <w:rPr>
          <w:rFonts w:eastAsia="Arial Unicode MS"/>
          <w:sz w:val="24"/>
        </w:rPr>
        <w:t xml:space="preserve">che </w:t>
      </w:r>
      <w:r w:rsidRPr="005B25D0">
        <w:rPr>
          <w:rFonts w:eastAsia="Arial Unicode MS"/>
          <w:sz w:val="24"/>
        </w:rPr>
        <w:t xml:space="preserve">le importazioni </w:t>
      </w:r>
      <w:r>
        <w:rPr>
          <w:rFonts w:eastAsia="Arial Unicode MS"/>
          <w:sz w:val="24"/>
        </w:rPr>
        <w:t xml:space="preserve">sono </w:t>
      </w:r>
      <w:r w:rsidRPr="005B25D0">
        <w:rPr>
          <w:rFonts w:eastAsia="Arial Unicode MS"/>
          <w:sz w:val="24"/>
        </w:rPr>
        <w:t xml:space="preserve">pari a 555.286.422 euro </w:t>
      </w:r>
      <w:r>
        <w:rPr>
          <w:rFonts w:eastAsia="Arial Unicode MS"/>
          <w:sz w:val="24"/>
        </w:rPr>
        <w:t>mentr</w:t>
      </w:r>
      <w:r w:rsidRPr="005B25D0">
        <w:rPr>
          <w:rFonts w:eastAsia="Arial Unicode MS"/>
          <w:sz w:val="24"/>
        </w:rPr>
        <w:t xml:space="preserve">e le esportazioni </w:t>
      </w:r>
      <w:r>
        <w:rPr>
          <w:rFonts w:eastAsia="Arial Unicode MS"/>
          <w:sz w:val="24"/>
        </w:rPr>
        <w:t>risultano</w:t>
      </w:r>
      <w:r w:rsidRPr="005B25D0">
        <w:rPr>
          <w:rFonts w:eastAsia="Arial Unicode MS"/>
          <w:sz w:val="24"/>
        </w:rPr>
        <w:t xml:space="preserve"> </w:t>
      </w:r>
      <w:r>
        <w:rPr>
          <w:rFonts w:eastAsia="Arial Unicode MS"/>
          <w:sz w:val="24"/>
        </w:rPr>
        <w:t xml:space="preserve">essere </w:t>
      </w:r>
      <w:r w:rsidRPr="005B25D0">
        <w:rPr>
          <w:rFonts w:eastAsia="Arial Unicode MS"/>
          <w:sz w:val="24"/>
        </w:rPr>
        <w:t>1.447.216.994 euro; il saldo della bilancia commerciale è quindi ampiamente positivo (+891.930.572 euro).</w:t>
      </w:r>
    </w:p>
    <w:p w:rsidR="00BC312F" w:rsidRPr="00890FAF" w:rsidRDefault="00BC312F" w:rsidP="00BC312F">
      <w:pPr>
        <w:spacing w:line="312" w:lineRule="auto"/>
        <w:ind w:firstLine="284"/>
        <w:rPr>
          <w:rFonts w:eastAsia="Arial Unicode MS"/>
          <w:sz w:val="24"/>
          <w:highlight w:val="yellow"/>
        </w:rPr>
      </w:pPr>
    </w:p>
    <w:p w:rsidR="00BC312F" w:rsidRPr="00CD37D2" w:rsidRDefault="00BC312F" w:rsidP="00BC312F">
      <w:pPr>
        <w:spacing w:line="312" w:lineRule="auto"/>
        <w:ind w:firstLine="284"/>
        <w:rPr>
          <w:rFonts w:eastAsia="Arial Unicode MS"/>
          <w:sz w:val="24"/>
        </w:rPr>
      </w:pPr>
      <w:r w:rsidRPr="00CD37D2">
        <w:rPr>
          <w:rFonts w:eastAsia="Arial Unicode MS"/>
          <w:sz w:val="24"/>
        </w:rPr>
        <w:t>I principali prodotti importati</w:t>
      </w:r>
      <w:r>
        <w:rPr>
          <w:rFonts w:eastAsia="Arial Unicode MS"/>
          <w:sz w:val="24"/>
        </w:rPr>
        <w:t xml:space="preserve">, che </w:t>
      </w:r>
      <w:r w:rsidRPr="00CD37D2">
        <w:rPr>
          <w:rFonts w:eastAsia="Arial Unicode MS"/>
          <w:sz w:val="24"/>
        </w:rPr>
        <w:t xml:space="preserve">pesano per il </w:t>
      </w:r>
      <w:r>
        <w:rPr>
          <w:rFonts w:eastAsia="Arial Unicode MS"/>
          <w:sz w:val="24"/>
        </w:rPr>
        <w:t>48</w:t>
      </w:r>
      <w:r w:rsidRPr="00CD37D2">
        <w:rPr>
          <w:rFonts w:eastAsia="Arial Unicode MS"/>
          <w:sz w:val="24"/>
        </w:rPr>
        <w:t>,</w:t>
      </w:r>
      <w:r>
        <w:rPr>
          <w:rFonts w:eastAsia="Arial Unicode MS"/>
          <w:sz w:val="24"/>
        </w:rPr>
        <w:t>4</w:t>
      </w:r>
      <w:r w:rsidRPr="00CD37D2">
        <w:rPr>
          <w:rFonts w:eastAsia="Arial Unicode MS"/>
          <w:sz w:val="24"/>
        </w:rPr>
        <w:t>% sul totale provinciale, sono:</w:t>
      </w:r>
    </w:p>
    <w:p w:rsidR="00BC312F" w:rsidRPr="00CD37D2" w:rsidRDefault="00BC312F" w:rsidP="00BC312F">
      <w:pPr>
        <w:spacing w:line="312" w:lineRule="auto"/>
        <w:rPr>
          <w:rFonts w:eastAsia="Arial Unicode MS"/>
          <w:sz w:val="24"/>
        </w:rPr>
      </w:pPr>
      <w:r w:rsidRPr="00CD37D2">
        <w:rPr>
          <w:rFonts w:eastAsia="Arial Unicode MS"/>
          <w:sz w:val="24"/>
        </w:rPr>
        <w:t>- Articoli di abbigliamento, escluso l'abbigliamento in pelliccia (16,3% sul totale import);</w:t>
      </w:r>
    </w:p>
    <w:p w:rsidR="00BC312F" w:rsidRPr="00CD37D2" w:rsidRDefault="00BC312F" w:rsidP="00BC312F">
      <w:pPr>
        <w:spacing w:line="312" w:lineRule="auto"/>
        <w:rPr>
          <w:rFonts w:eastAsia="Arial Unicode MS"/>
          <w:sz w:val="24"/>
        </w:rPr>
      </w:pPr>
      <w:r w:rsidRPr="00CD37D2">
        <w:rPr>
          <w:rFonts w:eastAsia="Arial Unicode MS"/>
          <w:sz w:val="24"/>
        </w:rPr>
        <w:t>- Pesce, crostacei e molluschi lavorati e conservati (11,</w:t>
      </w:r>
      <w:r>
        <w:rPr>
          <w:rFonts w:eastAsia="Arial Unicode MS"/>
          <w:sz w:val="24"/>
        </w:rPr>
        <w:t>4%);</w:t>
      </w:r>
    </w:p>
    <w:p w:rsidR="00BC312F" w:rsidRPr="00CD37D2" w:rsidRDefault="00BC312F" w:rsidP="00BC312F">
      <w:pPr>
        <w:spacing w:line="312" w:lineRule="auto"/>
        <w:rPr>
          <w:rFonts w:eastAsia="Arial Unicode MS"/>
          <w:sz w:val="24"/>
        </w:rPr>
      </w:pPr>
      <w:r w:rsidRPr="00CD37D2">
        <w:rPr>
          <w:rFonts w:eastAsia="Arial Unicode MS"/>
          <w:sz w:val="24"/>
        </w:rPr>
        <w:t xml:space="preserve">- Altri prodotti in metallo </w:t>
      </w:r>
      <w:r w:rsidRPr="00CD37D2">
        <w:rPr>
          <w:rFonts w:eastAsia="Arial Unicode MS"/>
          <w:sz w:val="22"/>
          <w:szCs w:val="22"/>
        </w:rPr>
        <w:t>(</w:t>
      </w:r>
      <w:r w:rsidRPr="00CD37D2">
        <w:rPr>
          <w:rFonts w:eastAsia="Arial Unicode MS"/>
          <w:i/>
          <w:sz w:val="22"/>
          <w:szCs w:val="22"/>
        </w:rPr>
        <w:t>bidoni in acciaio, imballaggi leggeri in metallo, articoli di bulloneria, prodotti fabbricati con fili metallici, catene e molle</w:t>
      </w:r>
      <w:r w:rsidRPr="00CD37D2">
        <w:rPr>
          <w:rFonts w:eastAsia="Arial Unicode MS"/>
          <w:sz w:val="22"/>
          <w:szCs w:val="22"/>
        </w:rPr>
        <w:t>)</w:t>
      </w:r>
      <w:r w:rsidRPr="00CD37D2">
        <w:rPr>
          <w:rFonts w:eastAsia="Arial Unicode MS"/>
          <w:sz w:val="24"/>
        </w:rPr>
        <w:t xml:space="preserve"> (6,7</w:t>
      </w:r>
      <w:r>
        <w:rPr>
          <w:rFonts w:eastAsia="Arial Unicode MS"/>
          <w:sz w:val="24"/>
        </w:rPr>
        <w:t>%);</w:t>
      </w:r>
    </w:p>
    <w:p w:rsidR="00BC312F" w:rsidRDefault="00BC312F" w:rsidP="00BC312F">
      <w:pPr>
        <w:spacing w:line="312" w:lineRule="auto"/>
        <w:rPr>
          <w:rFonts w:eastAsia="Arial Unicode MS"/>
          <w:sz w:val="24"/>
        </w:rPr>
      </w:pPr>
      <w:r>
        <w:rPr>
          <w:rFonts w:eastAsia="Arial Unicode MS"/>
          <w:sz w:val="24"/>
        </w:rPr>
        <w:t>- Articoli di maglieria (4,2%);</w:t>
      </w:r>
    </w:p>
    <w:p w:rsidR="00BC312F" w:rsidRPr="00CD37D2" w:rsidRDefault="00BC312F" w:rsidP="00BC312F">
      <w:pPr>
        <w:spacing w:line="312" w:lineRule="auto"/>
        <w:rPr>
          <w:rFonts w:eastAsia="Arial Unicode MS"/>
          <w:sz w:val="24"/>
        </w:rPr>
      </w:pPr>
      <w:r w:rsidRPr="00CD37D2">
        <w:rPr>
          <w:rFonts w:eastAsia="Arial Unicode MS"/>
          <w:sz w:val="24"/>
        </w:rPr>
        <w:t xml:space="preserve">- Macchine di impiego generale </w:t>
      </w:r>
      <w:r w:rsidRPr="00CD37D2">
        <w:rPr>
          <w:rFonts w:eastAsia="Arial Unicode MS" w:cs="Arial"/>
          <w:sz w:val="22"/>
          <w:szCs w:val="22"/>
        </w:rPr>
        <w:t>(</w:t>
      </w:r>
      <w:r w:rsidRPr="00CD37D2">
        <w:rPr>
          <w:rFonts w:eastAsia="Arial Unicode MS" w:cs="Arial"/>
          <w:i/>
          <w:sz w:val="22"/>
          <w:szCs w:val="22"/>
        </w:rPr>
        <w:t>motori e turbine esclusi i motori per mezzi su strada e aeromobili, pompe e compressori, rubinetti, valvole e cuscinetti a sfere</w:t>
      </w:r>
      <w:r w:rsidRPr="00CD37D2">
        <w:rPr>
          <w:rFonts w:eastAsia="Arial Unicode MS" w:cs="Arial"/>
          <w:sz w:val="22"/>
          <w:szCs w:val="22"/>
        </w:rPr>
        <w:t xml:space="preserve">) </w:t>
      </w:r>
      <w:r>
        <w:rPr>
          <w:rFonts w:eastAsia="Arial Unicode MS"/>
          <w:sz w:val="24"/>
        </w:rPr>
        <w:t>(3,5%);</w:t>
      </w:r>
    </w:p>
    <w:p w:rsidR="00BC312F" w:rsidRPr="00D35744" w:rsidRDefault="00BC312F" w:rsidP="00BC312F">
      <w:pPr>
        <w:spacing w:line="312" w:lineRule="auto"/>
        <w:rPr>
          <w:rFonts w:eastAsia="Arial Unicode MS"/>
          <w:sz w:val="24"/>
        </w:rPr>
      </w:pPr>
      <w:r w:rsidRPr="00D35744">
        <w:rPr>
          <w:rFonts w:eastAsia="Arial Unicode MS"/>
          <w:sz w:val="24"/>
        </w:rPr>
        <w:t>- Apparecchi per uso domestico (3,</w:t>
      </w:r>
      <w:r>
        <w:rPr>
          <w:rFonts w:eastAsia="Arial Unicode MS"/>
          <w:sz w:val="24"/>
        </w:rPr>
        <w:t>3%);</w:t>
      </w:r>
    </w:p>
    <w:p w:rsidR="00BC312F" w:rsidRPr="00D35744" w:rsidRDefault="00BC312F" w:rsidP="00BC312F">
      <w:pPr>
        <w:spacing w:line="312" w:lineRule="auto"/>
        <w:rPr>
          <w:rFonts w:eastAsia="Arial Unicode MS"/>
          <w:sz w:val="24"/>
        </w:rPr>
      </w:pPr>
      <w:r w:rsidRPr="00D35744">
        <w:rPr>
          <w:rFonts w:eastAsia="Arial Unicode MS"/>
          <w:sz w:val="24"/>
        </w:rPr>
        <w:t xml:space="preserve">- Pesci ed altri prodotti della pesca; prodotti dell'acquacoltura (3,0%), </w:t>
      </w:r>
    </w:p>
    <w:p w:rsidR="00BC312F" w:rsidRPr="00890FAF" w:rsidRDefault="00BC312F" w:rsidP="00BC312F">
      <w:pPr>
        <w:spacing w:line="312" w:lineRule="auto"/>
        <w:ind w:firstLine="284"/>
        <w:rPr>
          <w:rFonts w:eastAsia="Arial Unicode MS"/>
          <w:sz w:val="24"/>
          <w:highlight w:val="yellow"/>
        </w:rPr>
      </w:pPr>
    </w:p>
    <w:p w:rsidR="00BC312F" w:rsidRPr="00D35744" w:rsidRDefault="00BC312F" w:rsidP="00BC312F">
      <w:pPr>
        <w:spacing w:line="312" w:lineRule="auto"/>
        <w:ind w:firstLine="284"/>
        <w:rPr>
          <w:rFonts w:eastAsia="Arial Unicode MS"/>
          <w:sz w:val="24"/>
        </w:rPr>
      </w:pPr>
      <w:r w:rsidRPr="00D35744">
        <w:rPr>
          <w:rFonts w:eastAsia="Arial Unicode MS"/>
          <w:sz w:val="24"/>
        </w:rPr>
        <w:t>I principali prodotti esportati</w:t>
      </w:r>
      <w:r>
        <w:rPr>
          <w:rFonts w:eastAsia="Arial Unicode MS"/>
          <w:sz w:val="24"/>
        </w:rPr>
        <w:t>, che</w:t>
      </w:r>
      <w:r w:rsidRPr="00D35744">
        <w:rPr>
          <w:rFonts w:eastAsia="Arial Unicode MS"/>
          <w:sz w:val="24"/>
        </w:rPr>
        <w:t xml:space="preserve"> rappresentano il 66,5</w:t>
      </w:r>
      <w:r>
        <w:rPr>
          <w:rFonts w:eastAsia="Arial Unicode MS"/>
          <w:sz w:val="24"/>
        </w:rPr>
        <w:t>% del totale</w:t>
      </w:r>
      <w:r w:rsidRPr="00D35744">
        <w:rPr>
          <w:rFonts w:eastAsia="Arial Unicode MS"/>
          <w:sz w:val="24"/>
        </w:rPr>
        <w:t xml:space="preserve"> provinciale</w:t>
      </w:r>
      <w:r>
        <w:rPr>
          <w:rFonts w:eastAsia="Arial Unicode MS"/>
          <w:sz w:val="24"/>
        </w:rPr>
        <w:t>,</w:t>
      </w:r>
      <w:r w:rsidRPr="00D35744">
        <w:rPr>
          <w:rFonts w:eastAsia="Arial Unicode MS"/>
          <w:sz w:val="24"/>
        </w:rPr>
        <w:t xml:space="preserve"> sono: </w:t>
      </w:r>
    </w:p>
    <w:p w:rsidR="00BC312F" w:rsidRPr="00D35744" w:rsidRDefault="00BC312F" w:rsidP="00BC312F">
      <w:pPr>
        <w:spacing w:line="312" w:lineRule="auto"/>
        <w:rPr>
          <w:rFonts w:eastAsia="Arial Unicode MS"/>
          <w:sz w:val="24"/>
        </w:rPr>
      </w:pPr>
      <w:r w:rsidRPr="00D35744">
        <w:rPr>
          <w:rFonts w:eastAsia="Arial Unicode MS"/>
          <w:sz w:val="24"/>
        </w:rPr>
        <w:t>- Articoli di abbigliamento, escluso l'abbigliamento in pelliccia (28,0% sul totale export),</w:t>
      </w:r>
    </w:p>
    <w:p w:rsidR="00BC312F" w:rsidRPr="00D35744" w:rsidRDefault="00BC312F" w:rsidP="00BC312F">
      <w:pPr>
        <w:spacing w:line="312" w:lineRule="auto"/>
        <w:rPr>
          <w:rFonts w:eastAsia="Arial Unicode MS"/>
          <w:sz w:val="24"/>
        </w:rPr>
      </w:pPr>
      <w:r w:rsidRPr="00D35744">
        <w:rPr>
          <w:rFonts w:eastAsia="Arial Unicode MS"/>
          <w:sz w:val="24"/>
        </w:rPr>
        <w:t>- Macchine per la formatura dei metalli e altre macchine utensili (11,4%)</w:t>
      </w:r>
      <w:r>
        <w:rPr>
          <w:rFonts w:eastAsia="Arial Unicode MS"/>
          <w:sz w:val="24"/>
        </w:rPr>
        <w:t>;</w:t>
      </w:r>
    </w:p>
    <w:p w:rsidR="00BC312F" w:rsidRPr="00D35744" w:rsidRDefault="00BC312F" w:rsidP="00BC312F">
      <w:pPr>
        <w:spacing w:line="312" w:lineRule="auto"/>
        <w:rPr>
          <w:rFonts w:eastAsia="Arial Unicode MS"/>
          <w:sz w:val="24"/>
        </w:rPr>
      </w:pPr>
      <w:r w:rsidRPr="00D35744">
        <w:rPr>
          <w:rFonts w:eastAsia="Arial Unicode MS"/>
          <w:sz w:val="24"/>
        </w:rPr>
        <w:t>- Navi e imbarcazioni (9,5%)</w:t>
      </w:r>
      <w:r>
        <w:rPr>
          <w:rFonts w:eastAsia="Arial Unicode MS"/>
          <w:sz w:val="24"/>
        </w:rPr>
        <w:t>;</w:t>
      </w:r>
    </w:p>
    <w:p w:rsidR="00BC312F" w:rsidRDefault="00BC312F" w:rsidP="00BC312F">
      <w:pPr>
        <w:spacing w:line="312" w:lineRule="auto"/>
        <w:rPr>
          <w:rFonts w:eastAsia="Arial Unicode MS"/>
          <w:sz w:val="24"/>
        </w:rPr>
      </w:pPr>
      <w:r w:rsidRPr="00D35744">
        <w:rPr>
          <w:rFonts w:eastAsia="Arial Unicode MS"/>
          <w:sz w:val="24"/>
        </w:rPr>
        <w:t xml:space="preserve">- Altre macchine di impiego generale </w:t>
      </w:r>
      <w:r w:rsidRPr="00330443">
        <w:rPr>
          <w:rFonts w:eastAsia="Arial Unicode MS" w:cs="Arial"/>
          <w:sz w:val="22"/>
          <w:szCs w:val="22"/>
        </w:rPr>
        <w:t>(</w:t>
      </w:r>
      <w:r w:rsidRPr="00330443">
        <w:rPr>
          <w:rFonts w:eastAsia="Arial Unicode MS" w:cs="Arial"/>
          <w:i/>
          <w:sz w:val="22"/>
          <w:szCs w:val="22"/>
        </w:rPr>
        <w:t>forni e bruciatori, sistemi di riscaldamento e refrigerazione, macchine e attrezzature per ufficio esclusi computer, macchine di sollevamento e movimentazione</w:t>
      </w:r>
      <w:r w:rsidRPr="00330443">
        <w:rPr>
          <w:rFonts w:eastAsia="Arial Unicode MS" w:cs="Arial"/>
          <w:sz w:val="22"/>
          <w:szCs w:val="22"/>
        </w:rPr>
        <w:t>)</w:t>
      </w:r>
      <w:r w:rsidRPr="00F94907">
        <w:rPr>
          <w:rFonts w:eastAsia="Arial Unicode MS" w:cs="Arial"/>
          <w:sz w:val="22"/>
          <w:szCs w:val="22"/>
        </w:rPr>
        <w:t xml:space="preserve"> </w:t>
      </w:r>
      <w:r w:rsidRPr="00D35744">
        <w:rPr>
          <w:rFonts w:eastAsia="Arial Unicode MS"/>
          <w:sz w:val="24"/>
        </w:rPr>
        <w:t>(7,7%)</w:t>
      </w:r>
      <w:r>
        <w:rPr>
          <w:rFonts w:eastAsia="Arial Unicode MS"/>
          <w:sz w:val="24"/>
        </w:rPr>
        <w:t>;</w:t>
      </w:r>
    </w:p>
    <w:p w:rsidR="00BC312F" w:rsidRDefault="00BC312F" w:rsidP="00BC312F">
      <w:pPr>
        <w:spacing w:line="312" w:lineRule="auto"/>
        <w:rPr>
          <w:rFonts w:eastAsia="Arial Unicode MS"/>
          <w:sz w:val="24"/>
        </w:rPr>
      </w:pPr>
      <w:r>
        <w:rPr>
          <w:rFonts w:eastAsia="Arial Unicode MS"/>
          <w:sz w:val="24"/>
        </w:rPr>
        <w:t>- Articoli di maglieria (3,9%);</w:t>
      </w:r>
    </w:p>
    <w:p w:rsidR="00BC312F" w:rsidRPr="00330443" w:rsidRDefault="00BC312F" w:rsidP="00BC312F">
      <w:pPr>
        <w:spacing w:line="312" w:lineRule="auto"/>
        <w:rPr>
          <w:rFonts w:eastAsia="Arial Unicode MS"/>
          <w:sz w:val="24"/>
        </w:rPr>
      </w:pPr>
      <w:r w:rsidRPr="00330443">
        <w:rPr>
          <w:rFonts w:eastAsia="Arial Unicode MS"/>
          <w:sz w:val="24"/>
        </w:rPr>
        <w:t>- Materiali da costruzione in terracotta (3,2</w:t>
      </w:r>
      <w:r>
        <w:rPr>
          <w:rFonts w:eastAsia="Arial Unicode MS"/>
          <w:sz w:val="24"/>
        </w:rPr>
        <w:t>%);</w:t>
      </w:r>
    </w:p>
    <w:p w:rsidR="00BC312F" w:rsidRPr="00330443" w:rsidRDefault="00BC312F" w:rsidP="00BC312F">
      <w:pPr>
        <w:spacing w:line="312" w:lineRule="auto"/>
        <w:rPr>
          <w:rFonts w:eastAsia="Arial Unicode MS"/>
          <w:sz w:val="24"/>
        </w:rPr>
      </w:pPr>
      <w:r w:rsidRPr="00330443">
        <w:rPr>
          <w:rFonts w:eastAsia="Arial Unicode MS"/>
          <w:sz w:val="24"/>
        </w:rPr>
        <w:t>- Altri prodotti in metallo (2,8%).</w:t>
      </w:r>
    </w:p>
    <w:p w:rsidR="00BC312F" w:rsidRPr="00890FAF" w:rsidRDefault="00BC312F" w:rsidP="00BC312F">
      <w:pPr>
        <w:spacing w:line="312" w:lineRule="auto"/>
        <w:ind w:firstLine="284"/>
        <w:rPr>
          <w:rFonts w:eastAsia="Arial Unicode MS"/>
          <w:sz w:val="24"/>
          <w:highlight w:val="yellow"/>
        </w:rPr>
      </w:pPr>
    </w:p>
    <w:p w:rsidR="00BC312F" w:rsidRDefault="00BC312F" w:rsidP="00BC312F">
      <w:pPr>
        <w:spacing w:line="312" w:lineRule="auto"/>
        <w:ind w:firstLine="284"/>
        <w:rPr>
          <w:rFonts w:eastAsia="Arial Unicode MS"/>
          <w:sz w:val="24"/>
        </w:rPr>
      </w:pPr>
      <w:r w:rsidRPr="00990E48">
        <w:rPr>
          <w:rFonts w:eastAsia="Arial Unicode MS"/>
          <w:sz w:val="24"/>
        </w:rPr>
        <w:t>L’Unione Europea è il principale mercato di interscambio commerciale, con il 51,1% dei prodotti importati e il 52,4% dei prodotti esportati; a seguire, per le importazioni</w:t>
      </w:r>
      <w:r>
        <w:rPr>
          <w:rFonts w:eastAsia="Arial Unicode MS"/>
          <w:sz w:val="24"/>
        </w:rPr>
        <w:t>,</w:t>
      </w:r>
      <w:r w:rsidRPr="00990E48">
        <w:rPr>
          <w:rFonts w:eastAsia="Arial Unicode MS"/>
          <w:sz w:val="24"/>
        </w:rPr>
        <w:t xml:space="preserve"> gli Stati dell’Asia Orientale (21,1%) e gli Altri Paesi Europei (9,4%) e, riguardo alle esportazioni, gli Altri Paesi Europei (15,9%) e gli Stati dell’America Settentrionale (9,7%). </w:t>
      </w:r>
      <w:r w:rsidRPr="0049619D">
        <w:rPr>
          <w:rFonts w:eastAsia="Arial Unicode MS"/>
          <w:sz w:val="24"/>
        </w:rPr>
        <w:t>Effettuando l’analisi per singolo Paese, per l’import i primi Paesi sono</w:t>
      </w:r>
      <w:r>
        <w:rPr>
          <w:rFonts w:eastAsia="Arial Unicode MS"/>
          <w:sz w:val="24"/>
        </w:rPr>
        <w:t>:</w:t>
      </w:r>
      <w:r w:rsidRPr="0049619D">
        <w:rPr>
          <w:rFonts w:eastAsia="Arial Unicode MS"/>
          <w:sz w:val="24"/>
        </w:rPr>
        <w:t xml:space="preserve"> Cina (14,6%), Germania (10,6%), Spagna (6,9%), Paesi Bassi (6,1%) e Francia (5,6%) e, per ciò che concerne l’export</w:t>
      </w:r>
      <w:r>
        <w:rPr>
          <w:rFonts w:eastAsia="Arial Unicode MS"/>
          <w:sz w:val="24"/>
        </w:rPr>
        <w:t>:</w:t>
      </w:r>
      <w:r w:rsidRPr="0049619D">
        <w:rPr>
          <w:rFonts w:eastAsia="Arial Unicode MS"/>
          <w:sz w:val="24"/>
        </w:rPr>
        <w:t xml:space="preserve"> Francia (9,5%), Stati Uniti (8,9%), Russia (8,8%), Germania (7,1%) e Spagna (5,0%).</w:t>
      </w:r>
    </w:p>
    <w:p w:rsidR="00BC312F" w:rsidRPr="0049619D" w:rsidRDefault="00BC312F" w:rsidP="00BC312F">
      <w:pPr>
        <w:spacing w:line="312" w:lineRule="auto"/>
        <w:ind w:firstLine="284"/>
        <w:rPr>
          <w:rFonts w:eastAsia="Arial Unicode MS"/>
          <w:sz w:val="24"/>
        </w:rPr>
      </w:pPr>
    </w:p>
    <w:p w:rsidR="00890FAF" w:rsidRDefault="00890FAF">
      <w:pPr>
        <w:jc w:val="left"/>
        <w:rPr>
          <w:rFonts w:eastAsia="Arial Unicode MS"/>
          <w:sz w:val="24"/>
        </w:rPr>
      </w:pPr>
      <w:r>
        <w:rPr>
          <w:rFonts w:eastAsia="Arial Unicode MS"/>
          <w:sz w:val="24"/>
        </w:rPr>
        <w:br w:type="page"/>
      </w:r>
    </w:p>
    <w:p w:rsidR="00BC312F" w:rsidRDefault="00BC312F" w:rsidP="00BC312F">
      <w:pPr>
        <w:spacing w:line="312" w:lineRule="auto"/>
        <w:ind w:firstLine="284"/>
        <w:rPr>
          <w:rFonts w:eastAsia="Arial Unicode MS"/>
          <w:sz w:val="24"/>
        </w:rPr>
      </w:pPr>
      <w:r>
        <w:rPr>
          <w:rFonts w:eastAsia="Arial Unicode MS"/>
          <w:sz w:val="24"/>
        </w:rPr>
        <w:lastRenderedPageBreak/>
        <w:t>Considerando i primi 3 trimestri del</w:t>
      </w:r>
      <w:r w:rsidRPr="009B6803">
        <w:rPr>
          <w:rFonts w:eastAsia="Arial Unicode MS"/>
          <w:sz w:val="24"/>
        </w:rPr>
        <w:t xml:space="preserve"> 2014,</w:t>
      </w:r>
      <w:r>
        <w:rPr>
          <w:rFonts w:eastAsia="Arial Unicode MS"/>
          <w:sz w:val="24"/>
        </w:rPr>
        <w:t xml:space="preserve"> rispetto ai primi tre trimestri del 2013</w:t>
      </w:r>
      <w:r w:rsidRPr="009B6803">
        <w:rPr>
          <w:rFonts w:eastAsia="Arial Unicode MS"/>
          <w:sz w:val="24"/>
        </w:rPr>
        <w:t xml:space="preserve">, la provincia di Rimini è stata caratterizzata da un lieve incremento delle esportazioni, pari a +1,9%; </w:t>
      </w:r>
      <w:r>
        <w:rPr>
          <w:rFonts w:eastAsia="Arial Unicode MS"/>
          <w:sz w:val="24"/>
        </w:rPr>
        <w:t xml:space="preserve">se si considera la serie storica delle variazioni percentuali annue dei primi nove mesi dell’anno, partendo dal 2008, si evince però che tale </w:t>
      </w:r>
      <w:r w:rsidRPr="00074B59">
        <w:rPr>
          <w:rFonts w:eastAsia="Arial Unicode MS"/>
          <w:sz w:val="24"/>
        </w:rPr>
        <w:t>incremento è risultato inferiore a tutte le variazioni percentuali annue</w:t>
      </w:r>
      <w:r>
        <w:rPr>
          <w:rFonts w:eastAsia="Arial Unicode MS"/>
          <w:sz w:val="24"/>
        </w:rPr>
        <w:t xml:space="preserve"> considerate</w:t>
      </w:r>
      <w:r w:rsidRPr="00074B59">
        <w:rPr>
          <w:rFonts w:eastAsia="Arial Unicode MS"/>
          <w:sz w:val="24"/>
        </w:rPr>
        <w:t>, eccezion fatta per i due anni</w:t>
      </w:r>
      <w:r>
        <w:rPr>
          <w:rFonts w:eastAsia="Arial Unicode MS"/>
          <w:sz w:val="24"/>
        </w:rPr>
        <w:t>,</w:t>
      </w:r>
      <w:r w:rsidRPr="00074B59">
        <w:rPr>
          <w:rFonts w:eastAsia="Arial Unicode MS"/>
          <w:sz w:val="24"/>
        </w:rPr>
        <w:t xml:space="preserve"> </w:t>
      </w:r>
      <w:r>
        <w:rPr>
          <w:rFonts w:eastAsia="Arial Unicode MS"/>
          <w:sz w:val="24"/>
        </w:rPr>
        <w:t>che tra l’altro risultano gli anni più negativi dall’inizio della crisi,</w:t>
      </w:r>
      <w:r w:rsidRPr="00074B59">
        <w:rPr>
          <w:rFonts w:eastAsia="Arial Unicode MS"/>
          <w:sz w:val="24"/>
        </w:rPr>
        <w:t xml:space="preserve"> caratterizzati </w:t>
      </w:r>
      <w:r>
        <w:rPr>
          <w:rFonts w:eastAsia="Arial Unicode MS"/>
          <w:sz w:val="24"/>
        </w:rPr>
        <w:t xml:space="preserve">da diminuzioni </w:t>
      </w:r>
      <w:r w:rsidRPr="00074B59">
        <w:rPr>
          <w:rFonts w:eastAsia="Arial Unicode MS"/>
          <w:sz w:val="24"/>
        </w:rPr>
        <w:t>(-28,3% gennaio-settembre 2009 su gennaio-settembre 2008 e -2,0% gennaio-settembre 2013 su gennaio-settembre 2012</w:t>
      </w:r>
      <w:r>
        <w:rPr>
          <w:rFonts w:eastAsia="Arial Unicode MS"/>
          <w:sz w:val="24"/>
        </w:rPr>
        <w:t>).</w:t>
      </w:r>
    </w:p>
    <w:p w:rsidR="00BC312F" w:rsidRPr="00890FAF" w:rsidRDefault="00BC312F" w:rsidP="00BC312F">
      <w:pPr>
        <w:spacing w:line="312" w:lineRule="auto"/>
        <w:ind w:firstLine="284"/>
        <w:rPr>
          <w:rFonts w:eastAsia="Arial Unicode MS"/>
          <w:sz w:val="18"/>
          <w:szCs w:val="18"/>
        </w:rPr>
      </w:pPr>
    </w:p>
    <w:p w:rsidR="000F4E4D" w:rsidRDefault="000F4E4D" w:rsidP="00541787">
      <w:pPr>
        <w:jc w:val="center"/>
        <w:rPr>
          <w:i/>
        </w:rPr>
      </w:pPr>
      <w:r w:rsidRPr="00C6611C">
        <w:rPr>
          <w:i/>
        </w:rPr>
        <w:t>TAV. 19</w:t>
      </w:r>
    </w:p>
    <w:p w:rsidR="00071161" w:rsidRPr="00890FAF" w:rsidRDefault="00071161" w:rsidP="00541787">
      <w:pPr>
        <w:jc w:val="center"/>
        <w:rPr>
          <w:i/>
          <w:sz w:val="8"/>
          <w:szCs w:val="8"/>
        </w:rPr>
      </w:pPr>
    </w:p>
    <w:p w:rsidR="000F4E4D" w:rsidRDefault="00071161" w:rsidP="00465EE5">
      <w:pPr>
        <w:spacing w:line="360" w:lineRule="auto"/>
        <w:ind w:firstLine="284"/>
        <w:jc w:val="center"/>
      </w:pPr>
      <w:r w:rsidRPr="00071161">
        <w:rPr>
          <w:noProof/>
        </w:rPr>
        <w:drawing>
          <wp:inline distT="0" distB="0" distL="0" distR="0">
            <wp:extent cx="3324225" cy="2200275"/>
            <wp:effectExtent l="19050" t="0" r="9525" b="0"/>
            <wp:docPr id="12"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0F4E4D" w:rsidRPr="00890FAF" w:rsidRDefault="000F4E4D" w:rsidP="00465EE5">
      <w:pPr>
        <w:spacing w:line="360" w:lineRule="auto"/>
        <w:ind w:firstLine="284"/>
        <w:jc w:val="center"/>
        <w:rPr>
          <w:sz w:val="18"/>
          <w:szCs w:val="18"/>
        </w:rPr>
      </w:pPr>
    </w:p>
    <w:p w:rsidR="00BC312F" w:rsidRPr="00165740" w:rsidRDefault="00BC312F" w:rsidP="00BC312F">
      <w:pPr>
        <w:spacing w:line="312" w:lineRule="auto"/>
        <w:ind w:firstLine="284"/>
        <w:rPr>
          <w:rFonts w:eastAsia="Arial Unicode MS"/>
          <w:sz w:val="24"/>
        </w:rPr>
      </w:pPr>
      <w:r w:rsidRPr="00165740">
        <w:rPr>
          <w:rFonts w:eastAsia="Arial Unicode MS"/>
          <w:sz w:val="24"/>
        </w:rPr>
        <w:t>Infine</w:t>
      </w:r>
      <w:r>
        <w:rPr>
          <w:rFonts w:eastAsia="Arial Unicode MS"/>
          <w:sz w:val="24"/>
        </w:rPr>
        <w:t>,</w:t>
      </w:r>
      <w:r w:rsidRPr="00165740">
        <w:rPr>
          <w:rFonts w:eastAsia="Arial Unicode MS"/>
          <w:sz w:val="24"/>
        </w:rPr>
        <w:t xml:space="preserve"> </w:t>
      </w:r>
      <w:r w:rsidRPr="00165740">
        <w:rPr>
          <w:rFonts w:eastAsia="Arial Unicode MS" w:cs="Arial"/>
          <w:sz w:val="24"/>
        </w:rPr>
        <w:t>non solo il nostro territorio continua ad essere all’ultimo posto in regione per incidenza percent</w:t>
      </w:r>
      <w:r>
        <w:rPr>
          <w:rFonts w:eastAsia="Arial Unicode MS" w:cs="Arial"/>
          <w:sz w:val="24"/>
        </w:rPr>
        <w:t>uale dei prodotti esportati (3,7</w:t>
      </w:r>
      <w:r w:rsidRPr="00165740">
        <w:rPr>
          <w:rFonts w:eastAsia="Arial Unicode MS" w:cs="Arial"/>
          <w:sz w:val="24"/>
        </w:rPr>
        <w:t xml:space="preserve">% del totale dell’export regionale), </w:t>
      </w:r>
      <w:r>
        <w:rPr>
          <w:rFonts w:eastAsia="Arial Unicode MS" w:cs="Arial"/>
          <w:sz w:val="24"/>
        </w:rPr>
        <w:t>ma è anche quello in cui,</w:t>
      </w:r>
      <w:r w:rsidRPr="00165740">
        <w:rPr>
          <w:rFonts w:eastAsia="Arial Unicode MS"/>
          <w:sz w:val="24"/>
        </w:rPr>
        <w:t xml:space="preserve"> nei primi nove mesi del 2014</w:t>
      </w:r>
      <w:r>
        <w:rPr>
          <w:rFonts w:eastAsia="Arial Unicode MS"/>
          <w:sz w:val="24"/>
        </w:rPr>
        <w:t>,</w:t>
      </w:r>
      <w:r>
        <w:rPr>
          <w:rFonts w:eastAsia="Arial Unicode MS" w:cs="Arial"/>
          <w:sz w:val="24"/>
        </w:rPr>
        <w:t xml:space="preserve"> si è verificato uno dei più bassi incrementi  percentuali annui; tale incremento, infatti, è risultato essere superiore solo</w:t>
      </w:r>
      <w:r>
        <w:rPr>
          <w:rFonts w:eastAsia="Arial Unicode MS"/>
          <w:sz w:val="24"/>
        </w:rPr>
        <w:t xml:space="preserve"> alla provincia</w:t>
      </w:r>
      <w:r w:rsidRPr="00165740">
        <w:rPr>
          <w:rFonts w:eastAsia="Arial Unicode MS"/>
          <w:sz w:val="24"/>
        </w:rPr>
        <w:t xml:space="preserve"> di Ravenna (+0,7%)</w:t>
      </w:r>
      <w:r>
        <w:rPr>
          <w:rFonts w:eastAsia="Arial Unicode MS"/>
          <w:sz w:val="24"/>
        </w:rPr>
        <w:t>, mentre a</w:t>
      </w:r>
      <w:r w:rsidRPr="00165740">
        <w:rPr>
          <w:rFonts w:eastAsia="Arial Unicode MS"/>
          <w:sz w:val="24"/>
        </w:rPr>
        <w:t xml:space="preserve"> </w:t>
      </w:r>
      <w:proofErr w:type="spellStart"/>
      <w:r w:rsidRPr="00165740">
        <w:rPr>
          <w:rFonts w:eastAsia="Arial Unicode MS"/>
          <w:sz w:val="24"/>
        </w:rPr>
        <w:t>Forlì-Cesena</w:t>
      </w:r>
      <w:proofErr w:type="spellEnd"/>
      <w:r>
        <w:rPr>
          <w:rFonts w:eastAsia="Arial Unicode MS"/>
          <w:sz w:val="24"/>
        </w:rPr>
        <w:t xml:space="preserve"> si registra l’unica diminuzione regionale</w:t>
      </w:r>
      <w:r w:rsidRPr="00165740">
        <w:rPr>
          <w:rFonts w:eastAsia="Arial Unicode MS"/>
          <w:sz w:val="24"/>
        </w:rPr>
        <w:t xml:space="preserve"> (-0,5%)</w:t>
      </w:r>
      <w:r>
        <w:rPr>
          <w:rFonts w:eastAsia="Arial Unicode MS"/>
          <w:sz w:val="24"/>
        </w:rPr>
        <w:t xml:space="preserve">. Da aggiungere, inoltre, che </w:t>
      </w:r>
      <w:r w:rsidRPr="00165740">
        <w:rPr>
          <w:rFonts w:eastAsia="Arial Unicode MS"/>
          <w:sz w:val="24"/>
        </w:rPr>
        <w:t xml:space="preserve">l’incremento tendenziale nell’export dell’1,9% risulta inferiore alla media </w:t>
      </w:r>
      <w:proofErr w:type="spellStart"/>
      <w:r w:rsidRPr="00165740">
        <w:rPr>
          <w:rFonts w:eastAsia="Arial Unicode MS"/>
          <w:sz w:val="24"/>
        </w:rPr>
        <w:t>emiliano-romagnola</w:t>
      </w:r>
      <w:proofErr w:type="spellEnd"/>
      <w:r w:rsidRPr="00165740">
        <w:rPr>
          <w:rFonts w:eastAsia="Arial Unicode MS"/>
          <w:sz w:val="24"/>
        </w:rPr>
        <w:t xml:space="preserve"> (+4,2%) e </w:t>
      </w:r>
      <w:r>
        <w:rPr>
          <w:rFonts w:eastAsia="Arial Unicode MS"/>
          <w:sz w:val="24"/>
        </w:rPr>
        <w:t xml:space="preserve">superiore al dato </w:t>
      </w:r>
      <w:r w:rsidRPr="00165740">
        <w:rPr>
          <w:rFonts w:eastAsia="Arial Unicode MS"/>
          <w:sz w:val="24"/>
        </w:rPr>
        <w:t>nazionale (+1,4%).</w:t>
      </w:r>
    </w:p>
    <w:p w:rsidR="000F4E4D" w:rsidRPr="00890FAF" w:rsidRDefault="000F4E4D" w:rsidP="00444B96">
      <w:pPr>
        <w:spacing w:line="360" w:lineRule="auto"/>
        <w:ind w:firstLine="284"/>
        <w:rPr>
          <w:rFonts w:eastAsia="Arial Unicode MS"/>
          <w:sz w:val="16"/>
          <w:szCs w:val="16"/>
        </w:rPr>
      </w:pPr>
    </w:p>
    <w:p w:rsidR="000F4E4D" w:rsidRPr="00C6611C" w:rsidRDefault="000F4E4D" w:rsidP="00541787">
      <w:pPr>
        <w:jc w:val="center"/>
        <w:rPr>
          <w:i/>
        </w:rPr>
      </w:pPr>
      <w:r>
        <w:rPr>
          <w:i/>
        </w:rPr>
        <w:t>TAV. 20</w:t>
      </w:r>
    </w:p>
    <w:p w:rsidR="000F4E4D" w:rsidRPr="00CB6836" w:rsidRDefault="000F4E4D" w:rsidP="00444B96">
      <w:pPr>
        <w:spacing w:line="360" w:lineRule="auto"/>
        <w:ind w:firstLine="284"/>
        <w:rPr>
          <w:rFonts w:eastAsia="Arial Unicode MS"/>
          <w:sz w:val="8"/>
          <w:szCs w:val="8"/>
        </w:rPr>
      </w:pPr>
    </w:p>
    <w:p w:rsidR="00890FAF" w:rsidRPr="00890FAF" w:rsidRDefault="00071161" w:rsidP="00890FAF">
      <w:pPr>
        <w:spacing w:line="360" w:lineRule="auto"/>
        <w:ind w:firstLine="284"/>
        <w:jc w:val="center"/>
        <w:rPr>
          <w:color w:val="C00000"/>
          <w:sz w:val="16"/>
          <w:szCs w:val="16"/>
        </w:rPr>
      </w:pPr>
      <w:r w:rsidRPr="00890FAF">
        <w:rPr>
          <w:rFonts w:eastAsia="Arial Unicode MS"/>
          <w:noProof/>
          <w:sz w:val="24"/>
        </w:rPr>
        <w:drawing>
          <wp:inline distT="0" distB="0" distL="0" distR="0">
            <wp:extent cx="3514725" cy="2085975"/>
            <wp:effectExtent l="19050" t="0" r="9525" b="0"/>
            <wp:docPr id="11"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890FAF" w:rsidRPr="00890FAF" w:rsidRDefault="00890FAF" w:rsidP="00890FAF">
      <w:pPr>
        <w:spacing w:line="360" w:lineRule="auto"/>
        <w:ind w:firstLine="284"/>
        <w:jc w:val="center"/>
        <w:rPr>
          <w:color w:val="C00000"/>
          <w:sz w:val="4"/>
          <w:szCs w:val="4"/>
        </w:rPr>
      </w:pPr>
    </w:p>
    <w:p w:rsidR="000F4E4D" w:rsidRPr="00706678" w:rsidRDefault="00653CAE" w:rsidP="00890FAF">
      <w:pPr>
        <w:spacing w:line="360" w:lineRule="auto"/>
        <w:ind w:firstLine="284"/>
        <w:jc w:val="left"/>
        <w:rPr>
          <w:color w:val="C00000"/>
          <w:sz w:val="28"/>
          <w:szCs w:val="28"/>
        </w:rPr>
      </w:pPr>
      <w:r>
        <w:rPr>
          <w:color w:val="C00000"/>
          <w:sz w:val="28"/>
          <w:szCs w:val="28"/>
        </w:rPr>
        <w:br w:type="page"/>
      </w:r>
      <w:r w:rsidR="00890FAF">
        <w:rPr>
          <w:color w:val="C00000"/>
          <w:sz w:val="28"/>
          <w:szCs w:val="28"/>
        </w:rPr>
        <w:lastRenderedPageBreak/>
        <w:t>A</w:t>
      </w:r>
      <w:r w:rsidR="000F4E4D">
        <w:rPr>
          <w:color w:val="C00000"/>
          <w:sz w:val="28"/>
          <w:szCs w:val="28"/>
        </w:rPr>
        <w:t>GGIORNAMENTO DEMOGRAFIA IMPRESE</w:t>
      </w:r>
    </w:p>
    <w:p w:rsidR="000F4E4D" w:rsidRPr="00653CAE" w:rsidRDefault="000F4E4D" w:rsidP="00A33D79">
      <w:pPr>
        <w:spacing w:line="360" w:lineRule="auto"/>
        <w:ind w:firstLine="284"/>
        <w:rPr>
          <w:rFonts w:eastAsia="Arial Unicode MS"/>
          <w:sz w:val="24"/>
        </w:rPr>
      </w:pPr>
    </w:p>
    <w:p w:rsidR="000F4E4D" w:rsidRPr="00E74456" w:rsidRDefault="000F4E4D" w:rsidP="00A33D79">
      <w:pPr>
        <w:spacing w:line="312" w:lineRule="auto"/>
        <w:ind w:firstLine="284"/>
        <w:rPr>
          <w:rFonts w:eastAsia="Arial Unicode MS"/>
          <w:sz w:val="24"/>
        </w:rPr>
      </w:pPr>
      <w:r w:rsidRPr="00E74456">
        <w:rPr>
          <w:rFonts w:eastAsia="Arial Unicode MS"/>
          <w:sz w:val="24"/>
        </w:rPr>
        <w:t xml:space="preserve">Al 30/09/2014 le imprese attive del territorio riminese sono 34.932, contro le 35.686 del 30/09/2013, con un decremento del 2,1% (elaborazione </w:t>
      </w:r>
      <w:proofErr w:type="spellStart"/>
      <w:r w:rsidRPr="00E74456">
        <w:rPr>
          <w:rFonts w:eastAsia="Arial Unicode MS"/>
          <w:sz w:val="24"/>
        </w:rPr>
        <w:t>Infocamere</w:t>
      </w:r>
      <w:proofErr w:type="spellEnd"/>
      <w:r w:rsidRPr="00E74456">
        <w:rPr>
          <w:rFonts w:eastAsia="Arial Unicode MS"/>
          <w:sz w:val="24"/>
        </w:rPr>
        <w:t xml:space="preserve"> </w:t>
      </w:r>
      <w:proofErr w:type="spellStart"/>
      <w:r w:rsidRPr="00E74456">
        <w:rPr>
          <w:rFonts w:eastAsia="Arial Unicode MS"/>
          <w:sz w:val="24"/>
        </w:rPr>
        <w:t>Stockview</w:t>
      </w:r>
      <w:proofErr w:type="spellEnd"/>
      <w:r w:rsidRPr="00E74456">
        <w:rPr>
          <w:rFonts w:eastAsia="Arial Unicode MS"/>
          <w:sz w:val="24"/>
        </w:rPr>
        <w:t xml:space="preserve"> su dati Registro Imprese Camera di Commercio di Rimini); il calo ha riguardato tutte le province </w:t>
      </w:r>
      <w:proofErr w:type="spellStart"/>
      <w:r w:rsidRPr="00E74456">
        <w:rPr>
          <w:rFonts w:eastAsia="Arial Unicode MS"/>
          <w:sz w:val="24"/>
        </w:rPr>
        <w:t>emiliano-romagnole</w:t>
      </w:r>
      <w:proofErr w:type="spellEnd"/>
      <w:r w:rsidRPr="00E74456">
        <w:rPr>
          <w:rFonts w:eastAsia="Arial Unicode MS"/>
          <w:sz w:val="24"/>
        </w:rPr>
        <w:t xml:space="preserve">, ma si è manifestato in misura più intensa a Rimini rispetto alla variazione regionale (-1,2%) e anche nei confronti della riduzione nazionale </w:t>
      </w:r>
      <w:r w:rsidRPr="00E74456">
        <w:rPr>
          <w:rFonts w:eastAsia="Arial Unicode MS"/>
          <w:sz w:val="24"/>
        </w:rPr>
        <w:br/>
        <w:t>(-0,7%).</w:t>
      </w:r>
    </w:p>
    <w:p w:rsidR="00890FAF" w:rsidRDefault="00890FAF" w:rsidP="00A33D79">
      <w:pPr>
        <w:spacing w:line="312" w:lineRule="auto"/>
        <w:ind w:firstLine="284"/>
        <w:rPr>
          <w:rFonts w:eastAsia="Arial Unicode MS"/>
          <w:sz w:val="24"/>
        </w:rPr>
      </w:pPr>
    </w:p>
    <w:p w:rsidR="000F4E4D" w:rsidRPr="00286E94" w:rsidRDefault="000F4E4D" w:rsidP="00A33D79">
      <w:pPr>
        <w:spacing w:line="312" w:lineRule="auto"/>
        <w:ind w:firstLine="284"/>
        <w:rPr>
          <w:rFonts w:eastAsia="Arial Unicode MS"/>
          <w:sz w:val="24"/>
        </w:rPr>
      </w:pPr>
      <w:r w:rsidRPr="00D831EA">
        <w:rPr>
          <w:rFonts w:eastAsia="Arial Unicode MS"/>
          <w:sz w:val="24"/>
        </w:rPr>
        <w:t xml:space="preserve">Le </w:t>
      </w:r>
      <w:r w:rsidRPr="004B38B5">
        <w:rPr>
          <w:rFonts w:eastAsia="Arial Unicode MS"/>
          <w:i/>
          <w:sz w:val="24"/>
        </w:rPr>
        <w:t>imprese individuali</w:t>
      </w:r>
      <w:r w:rsidRPr="00D831EA">
        <w:rPr>
          <w:rFonts w:eastAsia="Arial Unicode MS"/>
          <w:sz w:val="24"/>
        </w:rPr>
        <w:t xml:space="preserve">, pur costituendo la forma giuridica principale del territorio riminese (18.804 unità, 53,8% del totale imprese) risultano in calo del 3,4% rispetto al 30/09/13; </w:t>
      </w:r>
      <w:r>
        <w:rPr>
          <w:rFonts w:eastAsia="Arial Unicode MS"/>
          <w:sz w:val="24"/>
        </w:rPr>
        <w:t xml:space="preserve">le difficoltà maggiori per questa tipologia di imprese consistono principalmente </w:t>
      </w:r>
      <w:r w:rsidRPr="00D831EA">
        <w:rPr>
          <w:rFonts w:eastAsia="Arial Unicode MS"/>
          <w:sz w:val="24"/>
        </w:rPr>
        <w:t xml:space="preserve">nella limitata capacità di stare o riposizionarsi sul mercato, nella stretta dipendenza dal credito bancario, nella bassa propensione all’innovazione e nella scarsa competitività sul mercato estero. </w:t>
      </w:r>
      <w:r w:rsidRPr="001B4E98">
        <w:rPr>
          <w:rFonts w:eastAsia="Arial Unicode MS"/>
          <w:sz w:val="24"/>
        </w:rPr>
        <w:t xml:space="preserve">Diminuiscono dello 0,9% anche le </w:t>
      </w:r>
      <w:r w:rsidRPr="004B38B5">
        <w:rPr>
          <w:rFonts w:eastAsia="Arial Unicode MS"/>
          <w:i/>
          <w:sz w:val="24"/>
        </w:rPr>
        <w:t>società di persone</w:t>
      </w:r>
      <w:r w:rsidRPr="001B4E98">
        <w:rPr>
          <w:rFonts w:eastAsia="Arial Unicode MS"/>
          <w:sz w:val="24"/>
        </w:rPr>
        <w:t xml:space="preserve"> (9.516 unità, 27,2% sul totale) e del 9,8% le </w:t>
      </w:r>
      <w:r>
        <w:rPr>
          <w:rFonts w:eastAsia="Arial Unicode MS"/>
          <w:sz w:val="24"/>
        </w:rPr>
        <w:t xml:space="preserve">cosiddette </w:t>
      </w:r>
      <w:r w:rsidRPr="004B38B5">
        <w:rPr>
          <w:rFonts w:eastAsia="Arial Unicode MS"/>
          <w:i/>
          <w:sz w:val="24"/>
        </w:rPr>
        <w:t>altre forme</w:t>
      </w:r>
      <w:r w:rsidRPr="001B4E98">
        <w:rPr>
          <w:rFonts w:eastAsia="Arial Unicode MS"/>
          <w:sz w:val="24"/>
        </w:rPr>
        <w:t xml:space="preserve"> (cooperative, consorzi e associazioni, 664 unità, 1,9% sul totale). </w:t>
      </w:r>
      <w:r w:rsidRPr="00286E94">
        <w:rPr>
          <w:rFonts w:eastAsia="Arial Unicode MS"/>
          <w:sz w:val="24"/>
        </w:rPr>
        <w:t xml:space="preserve">Le uniche a crescere sono le </w:t>
      </w:r>
      <w:r w:rsidRPr="008746D5">
        <w:rPr>
          <w:rFonts w:eastAsia="Arial Unicode MS"/>
          <w:i/>
          <w:sz w:val="24"/>
        </w:rPr>
        <w:t>società di capitale</w:t>
      </w:r>
      <w:r w:rsidRPr="00286E94">
        <w:rPr>
          <w:rFonts w:eastAsia="Arial Unicode MS"/>
          <w:sz w:val="24"/>
        </w:rPr>
        <w:t xml:space="preserve"> (5.948 unità, 17,0% sul totale) con un +1,2%.</w:t>
      </w:r>
      <w:r>
        <w:rPr>
          <w:rFonts w:eastAsia="Arial Unicode MS"/>
          <w:sz w:val="24"/>
        </w:rPr>
        <w:t xml:space="preserve"> </w:t>
      </w:r>
    </w:p>
    <w:p w:rsidR="000F4E4D" w:rsidRPr="00593B98" w:rsidRDefault="000F4E4D" w:rsidP="00A33D79">
      <w:pPr>
        <w:spacing w:line="312" w:lineRule="auto"/>
        <w:ind w:firstLine="284"/>
        <w:rPr>
          <w:rFonts w:eastAsia="Arial Unicode MS"/>
          <w:sz w:val="24"/>
          <w:highlight w:val="yellow"/>
        </w:rPr>
      </w:pPr>
    </w:p>
    <w:p w:rsidR="000F4E4D" w:rsidRPr="00394ECA" w:rsidRDefault="000F4E4D" w:rsidP="00A33D79">
      <w:pPr>
        <w:spacing w:line="312" w:lineRule="auto"/>
        <w:ind w:firstLine="284"/>
        <w:rPr>
          <w:rFonts w:eastAsia="Arial Unicode MS"/>
          <w:sz w:val="24"/>
        </w:rPr>
      </w:pPr>
      <w:r w:rsidRPr="00952376">
        <w:rPr>
          <w:rFonts w:eastAsia="Arial Unicode MS"/>
          <w:sz w:val="24"/>
        </w:rPr>
        <w:t xml:space="preserve">Nei primi nove mesi del 2014 in provincia di Rimini le imprese cessate hanno largamente superato le iscrizioni, 2.314 unità contro 1.899, determinando un saldo nati-mortalità negativo (-415 imprese); nel confronto con il periodo gennaio-settembre 2013, </w:t>
      </w:r>
      <w:r w:rsidRPr="00394ECA">
        <w:rPr>
          <w:rFonts w:eastAsia="Arial Unicode MS"/>
          <w:sz w:val="24"/>
        </w:rPr>
        <w:t>si registra un</w:t>
      </w:r>
      <w:r>
        <w:rPr>
          <w:rFonts w:eastAsia="Arial Unicode MS"/>
          <w:sz w:val="24"/>
        </w:rPr>
        <w:t>a</w:t>
      </w:r>
      <w:r w:rsidRPr="00394ECA">
        <w:rPr>
          <w:rFonts w:eastAsia="Arial Unicode MS"/>
          <w:sz w:val="24"/>
        </w:rPr>
        <w:t xml:space="preserve"> </w:t>
      </w:r>
      <w:r>
        <w:rPr>
          <w:rFonts w:eastAsia="Arial Unicode MS"/>
          <w:sz w:val="24"/>
        </w:rPr>
        <w:t>decisa</w:t>
      </w:r>
      <w:r w:rsidRPr="00394ECA">
        <w:rPr>
          <w:rFonts w:eastAsia="Arial Unicode MS"/>
          <w:sz w:val="24"/>
        </w:rPr>
        <w:t xml:space="preserve"> </w:t>
      </w:r>
      <w:r>
        <w:rPr>
          <w:rFonts w:eastAsia="Arial Unicode MS"/>
          <w:sz w:val="24"/>
        </w:rPr>
        <w:t>diminuzione</w:t>
      </w:r>
      <w:r w:rsidRPr="00394ECA">
        <w:rPr>
          <w:rFonts w:eastAsia="Arial Unicode MS"/>
          <w:sz w:val="24"/>
        </w:rPr>
        <w:t xml:space="preserve"> delle imprese iscritte del 19,1% a cui si associa un</w:t>
      </w:r>
      <w:r>
        <w:rPr>
          <w:rFonts w:eastAsia="Arial Unicode MS"/>
          <w:sz w:val="24"/>
        </w:rPr>
        <w:t xml:space="preserve"> analogo decremento, seppur </w:t>
      </w:r>
      <w:r w:rsidRPr="00394ECA">
        <w:rPr>
          <w:rFonts w:eastAsia="Arial Unicode MS"/>
          <w:sz w:val="24"/>
        </w:rPr>
        <w:t>più lieve, delle imprese cessate del 2,9%.</w:t>
      </w:r>
    </w:p>
    <w:p w:rsidR="000F4E4D" w:rsidRPr="006408EA" w:rsidRDefault="000F4E4D" w:rsidP="00A33D79">
      <w:pPr>
        <w:spacing w:line="312" w:lineRule="auto"/>
        <w:ind w:firstLine="284"/>
        <w:rPr>
          <w:rFonts w:eastAsia="Arial Unicode MS"/>
          <w:sz w:val="24"/>
        </w:rPr>
      </w:pPr>
      <w:r w:rsidRPr="009F6E34">
        <w:rPr>
          <w:rFonts w:eastAsia="Arial Unicode MS"/>
          <w:sz w:val="24"/>
        </w:rPr>
        <w:t xml:space="preserve">I settori con un saldo maggiormente negativo sono nell’ordine: il </w:t>
      </w:r>
      <w:r>
        <w:rPr>
          <w:rFonts w:eastAsia="Arial Unicode MS"/>
          <w:sz w:val="24"/>
        </w:rPr>
        <w:t>“</w:t>
      </w:r>
      <w:r w:rsidRPr="009F6E34">
        <w:rPr>
          <w:rFonts w:eastAsia="Arial Unicode MS"/>
          <w:sz w:val="24"/>
        </w:rPr>
        <w:t>Commercio</w:t>
      </w:r>
      <w:r>
        <w:rPr>
          <w:rFonts w:eastAsia="Arial Unicode MS"/>
          <w:sz w:val="24"/>
        </w:rPr>
        <w:t xml:space="preserve">” (il </w:t>
      </w:r>
      <w:r w:rsidRPr="009F6E34">
        <w:rPr>
          <w:rFonts w:eastAsia="Arial Unicode MS"/>
          <w:sz w:val="24"/>
        </w:rPr>
        <w:t>principale settore economico provinc</w:t>
      </w:r>
      <w:r>
        <w:rPr>
          <w:rFonts w:eastAsia="Arial Unicode MS"/>
          <w:sz w:val="24"/>
        </w:rPr>
        <w:t xml:space="preserve">iale </w:t>
      </w:r>
      <w:r w:rsidRPr="009F6E34">
        <w:rPr>
          <w:rFonts w:eastAsia="Arial Unicode MS"/>
          <w:sz w:val="24"/>
        </w:rPr>
        <w:t>con 9.066 imprese attive</w:t>
      </w:r>
      <w:r>
        <w:rPr>
          <w:rFonts w:eastAsia="Arial Unicode MS"/>
          <w:sz w:val="24"/>
        </w:rPr>
        <w:t>)</w:t>
      </w:r>
      <w:r w:rsidRPr="009F6E34">
        <w:rPr>
          <w:rFonts w:eastAsia="Arial Unicode MS"/>
          <w:sz w:val="24"/>
        </w:rPr>
        <w:t xml:space="preserve"> </w:t>
      </w:r>
      <w:r>
        <w:rPr>
          <w:rFonts w:eastAsia="Arial Unicode MS"/>
          <w:sz w:val="24"/>
        </w:rPr>
        <w:t xml:space="preserve">con -357 imprese </w:t>
      </w:r>
      <w:r w:rsidRPr="00DB251A">
        <w:rPr>
          <w:rFonts w:eastAsia="Arial Unicode MS"/>
          <w:sz w:val="24"/>
        </w:rPr>
        <w:t>(404 iscrizioni, 761</w:t>
      </w:r>
      <w:r>
        <w:rPr>
          <w:rFonts w:eastAsia="Arial Unicode MS"/>
          <w:sz w:val="24"/>
        </w:rPr>
        <w:t xml:space="preserve"> cessazioni</w:t>
      </w:r>
      <w:r w:rsidRPr="00DB251A">
        <w:rPr>
          <w:rFonts w:eastAsia="Arial Unicode MS"/>
          <w:sz w:val="24"/>
        </w:rPr>
        <w:t xml:space="preserve">), </w:t>
      </w:r>
      <w:r w:rsidRPr="006408EA">
        <w:rPr>
          <w:rFonts w:eastAsia="Arial Unicode MS"/>
          <w:sz w:val="24"/>
        </w:rPr>
        <w:t xml:space="preserve">le </w:t>
      </w:r>
      <w:r>
        <w:rPr>
          <w:rFonts w:eastAsia="Arial Unicode MS"/>
          <w:sz w:val="24"/>
        </w:rPr>
        <w:t>“</w:t>
      </w:r>
      <w:r w:rsidRPr="006408EA">
        <w:rPr>
          <w:rFonts w:eastAsia="Arial Unicode MS"/>
          <w:sz w:val="24"/>
        </w:rPr>
        <w:t>Costruzioni</w:t>
      </w:r>
      <w:r>
        <w:rPr>
          <w:rFonts w:eastAsia="Arial Unicode MS"/>
          <w:sz w:val="24"/>
        </w:rPr>
        <w:t>”</w:t>
      </w:r>
      <w:r w:rsidRPr="006408EA">
        <w:rPr>
          <w:rFonts w:eastAsia="Arial Unicode MS"/>
          <w:sz w:val="24"/>
        </w:rPr>
        <w:t xml:space="preserve"> </w:t>
      </w:r>
      <w:r>
        <w:rPr>
          <w:rFonts w:eastAsia="Arial Unicode MS"/>
          <w:sz w:val="24"/>
        </w:rPr>
        <w:t xml:space="preserve">con -165 imprese </w:t>
      </w:r>
      <w:r w:rsidRPr="006408EA">
        <w:rPr>
          <w:rFonts w:eastAsia="Arial Unicode MS"/>
          <w:sz w:val="24"/>
        </w:rPr>
        <w:t>(233 iscrizioni, 398 cessazioni), l’</w:t>
      </w:r>
      <w:r>
        <w:rPr>
          <w:rFonts w:eastAsia="Arial Unicode MS"/>
          <w:sz w:val="24"/>
        </w:rPr>
        <w:t>”</w:t>
      </w:r>
      <w:r w:rsidRPr="006408EA">
        <w:rPr>
          <w:rFonts w:eastAsia="Arial Unicode MS"/>
          <w:sz w:val="24"/>
        </w:rPr>
        <w:t>Agricoltura</w:t>
      </w:r>
      <w:r>
        <w:rPr>
          <w:rFonts w:eastAsia="Arial Unicode MS"/>
          <w:sz w:val="24"/>
        </w:rPr>
        <w:t>” con -88 imprese</w:t>
      </w:r>
      <w:r w:rsidRPr="006408EA">
        <w:rPr>
          <w:rFonts w:eastAsia="Arial Unicode MS"/>
          <w:sz w:val="24"/>
        </w:rPr>
        <w:t xml:space="preserve"> (41 iscrizioni, 129 cessazioni), i </w:t>
      </w:r>
      <w:r>
        <w:rPr>
          <w:rFonts w:eastAsia="Arial Unicode MS"/>
          <w:sz w:val="24"/>
        </w:rPr>
        <w:t>“</w:t>
      </w:r>
      <w:r w:rsidRPr="006408EA">
        <w:rPr>
          <w:rFonts w:eastAsia="Arial Unicode MS"/>
          <w:sz w:val="24"/>
        </w:rPr>
        <w:t>Servizi di alloggio e ristorazione</w:t>
      </w:r>
      <w:r>
        <w:rPr>
          <w:rFonts w:eastAsia="Arial Unicode MS"/>
          <w:sz w:val="24"/>
        </w:rPr>
        <w:t>” con -73 imprese</w:t>
      </w:r>
      <w:r w:rsidRPr="006408EA">
        <w:rPr>
          <w:rFonts w:eastAsia="Arial Unicode MS"/>
          <w:sz w:val="24"/>
        </w:rPr>
        <w:t xml:space="preserve"> (209 iscrizioni, 282 cessazioni), le </w:t>
      </w:r>
      <w:r>
        <w:rPr>
          <w:rFonts w:eastAsia="Arial Unicode MS"/>
          <w:sz w:val="24"/>
        </w:rPr>
        <w:t>“</w:t>
      </w:r>
      <w:r w:rsidRPr="006408EA">
        <w:rPr>
          <w:rFonts w:eastAsia="Arial Unicode MS"/>
          <w:sz w:val="24"/>
        </w:rPr>
        <w:t>Attività immobiliari</w:t>
      </w:r>
      <w:r>
        <w:rPr>
          <w:rFonts w:eastAsia="Arial Unicode MS"/>
          <w:sz w:val="24"/>
        </w:rPr>
        <w:t>” con -49 imprese</w:t>
      </w:r>
      <w:r w:rsidRPr="006408EA">
        <w:rPr>
          <w:rFonts w:eastAsia="Arial Unicode MS"/>
          <w:sz w:val="24"/>
        </w:rPr>
        <w:t xml:space="preserve"> (28 iscrizioni, 77 cessazioni), l’</w:t>
      </w:r>
      <w:r>
        <w:rPr>
          <w:rFonts w:eastAsia="Arial Unicode MS"/>
          <w:sz w:val="24"/>
        </w:rPr>
        <w:t>”</w:t>
      </w:r>
      <w:r w:rsidRPr="006408EA">
        <w:rPr>
          <w:rFonts w:eastAsia="Arial Unicode MS"/>
          <w:sz w:val="24"/>
        </w:rPr>
        <w:t>Industria Manifatturiera</w:t>
      </w:r>
      <w:r>
        <w:rPr>
          <w:rFonts w:eastAsia="Arial Unicode MS"/>
          <w:sz w:val="24"/>
        </w:rPr>
        <w:t>” con -43 imprese</w:t>
      </w:r>
      <w:r w:rsidRPr="006408EA">
        <w:rPr>
          <w:rFonts w:eastAsia="Arial Unicode MS"/>
          <w:sz w:val="24"/>
        </w:rPr>
        <w:t xml:space="preserve"> (89 iscrizioni, 132 cessazioni), e le </w:t>
      </w:r>
      <w:r>
        <w:rPr>
          <w:rFonts w:eastAsia="Arial Unicode MS"/>
          <w:sz w:val="24"/>
        </w:rPr>
        <w:t>“</w:t>
      </w:r>
      <w:r w:rsidRPr="006408EA">
        <w:rPr>
          <w:rFonts w:eastAsia="Arial Unicode MS"/>
          <w:sz w:val="24"/>
        </w:rPr>
        <w:t>Attività professionali, scientifiche e tecniche</w:t>
      </w:r>
      <w:r>
        <w:rPr>
          <w:rFonts w:eastAsia="Arial Unicode MS"/>
          <w:sz w:val="24"/>
        </w:rPr>
        <w:t>” con -42 imprese</w:t>
      </w:r>
      <w:r w:rsidRPr="006408EA">
        <w:rPr>
          <w:rFonts w:eastAsia="Arial Unicode MS"/>
          <w:sz w:val="24"/>
        </w:rPr>
        <w:t xml:space="preserve"> (41 iscrizioni, 83 cessazioni). </w:t>
      </w:r>
    </w:p>
    <w:p w:rsidR="000F4E4D" w:rsidRPr="00B96DBD" w:rsidRDefault="000F4E4D" w:rsidP="00A33D79">
      <w:pPr>
        <w:spacing w:line="312" w:lineRule="auto"/>
        <w:ind w:firstLine="284"/>
        <w:rPr>
          <w:rFonts w:eastAsia="Arial Unicode MS"/>
          <w:sz w:val="24"/>
        </w:rPr>
      </w:pPr>
      <w:r w:rsidRPr="00252D37">
        <w:rPr>
          <w:rFonts w:eastAsia="Arial Unicode MS"/>
          <w:sz w:val="24"/>
        </w:rPr>
        <w:t>L’unico settore stabile</w:t>
      </w:r>
      <w:r>
        <w:rPr>
          <w:rFonts w:eastAsia="Arial Unicode MS"/>
          <w:sz w:val="24"/>
        </w:rPr>
        <w:t xml:space="preserve"> è l’Istruzione (6 iscrizioni, </w:t>
      </w:r>
      <w:r w:rsidRPr="00252D37">
        <w:rPr>
          <w:rFonts w:eastAsia="Arial Unicode MS"/>
          <w:sz w:val="24"/>
        </w:rPr>
        <w:t>6 cessazioni) mentre nessuno fa registrare saldi positivi.</w:t>
      </w:r>
      <w:r w:rsidRPr="00252D37">
        <w:rPr>
          <w:rFonts w:eastAsia="Arial Unicode MS"/>
          <w:sz w:val="24"/>
          <w:vertAlign w:val="superscript"/>
        </w:rPr>
        <w:footnoteReference w:id="1"/>
      </w:r>
      <w:r w:rsidRPr="002760F4">
        <w:rPr>
          <w:rFonts w:eastAsia="Arial Unicode MS"/>
          <w:sz w:val="24"/>
          <w:vertAlign w:val="superscript"/>
        </w:rPr>
        <w:t xml:space="preserve"> </w:t>
      </w:r>
      <w:r w:rsidRPr="00B96DBD">
        <w:rPr>
          <w:rFonts w:eastAsia="Arial Unicode MS"/>
          <w:sz w:val="24"/>
        </w:rPr>
        <w:t xml:space="preserve"> </w:t>
      </w:r>
    </w:p>
    <w:p w:rsidR="000F4E4D" w:rsidRDefault="000F4E4D" w:rsidP="0029671E">
      <w:pPr>
        <w:spacing w:line="360" w:lineRule="auto"/>
        <w:ind w:firstLine="284"/>
        <w:jc w:val="center"/>
      </w:pPr>
    </w:p>
    <w:sectPr w:rsidR="000F4E4D" w:rsidSect="00D24615">
      <w:headerReference w:type="even" r:id="rId49"/>
      <w:headerReference w:type="default" r:id="rId50"/>
      <w:footerReference w:type="even" r:id="rId51"/>
      <w:footerReference w:type="default" r:id="rId52"/>
      <w:footerReference w:type="first" r:id="rId53"/>
      <w:type w:val="continuous"/>
      <w:pgSz w:w="11906" w:h="16838" w:code="9"/>
      <w:pgMar w:top="1276" w:right="1276" w:bottom="1276" w:left="1276" w:header="567" w:footer="567"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490" w:rsidRDefault="00165490" w:rsidP="0004184D">
      <w:r>
        <w:separator/>
      </w:r>
    </w:p>
  </w:endnote>
  <w:endnote w:type="continuationSeparator" w:id="0">
    <w:p w:rsidR="00165490" w:rsidRDefault="00165490" w:rsidP="000418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onospac821 BT">
    <w:altName w:val="Consolas"/>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90" w:rsidRPr="00B27C7D" w:rsidRDefault="00165490" w:rsidP="00335E0E">
    <w:pPr>
      <w:pStyle w:val="Pidipagina"/>
    </w:pPr>
    <w:r>
      <w:t xml:space="preserve">camera di commercio di </w:t>
    </w:r>
    <w:proofErr w:type="spellStart"/>
    <w:r>
      <w:t>rimini</w:t>
    </w:r>
    <w:proofErr w:type="spell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90" w:rsidRPr="00B27C7D" w:rsidRDefault="00165490" w:rsidP="00B27C7D">
    <w:pPr>
      <w:pStyle w:val="Pidipagina"/>
    </w:pPr>
    <w:r>
      <w:t xml:space="preserve">camera di commercio di </w:t>
    </w:r>
    <w:proofErr w:type="spellStart"/>
    <w:r>
      <w:t>rimini</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90" w:rsidRDefault="00165490" w:rsidP="002F4FF4">
    <w:pPr>
      <w:pStyle w:val="pidipaginaurl"/>
    </w:pPr>
    <w:r>
      <w:t>http://www.riminieconomia.it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490" w:rsidRDefault="00165490" w:rsidP="0004184D">
      <w:r>
        <w:separator/>
      </w:r>
    </w:p>
  </w:footnote>
  <w:footnote w:type="continuationSeparator" w:id="0">
    <w:p w:rsidR="00165490" w:rsidRDefault="00165490" w:rsidP="0004184D">
      <w:r>
        <w:continuationSeparator/>
      </w:r>
    </w:p>
  </w:footnote>
  <w:footnote w:id="1">
    <w:p w:rsidR="00165490" w:rsidRDefault="00165490" w:rsidP="00A33D79">
      <w:pPr>
        <w:spacing w:line="264" w:lineRule="auto"/>
        <w:ind w:firstLine="284"/>
      </w:pPr>
      <w:r>
        <w:rPr>
          <w:rStyle w:val="Rimandonotaapidipagina"/>
        </w:rPr>
        <w:footnoteRef/>
      </w:r>
      <w:r>
        <w:t xml:space="preserve"> </w:t>
      </w:r>
      <w:r w:rsidRPr="006408EA">
        <w:t>Riguardo all’attività economica esercitata, il commento alla nati-mortalità è condizionato dal ragguardevole numero delle “</w:t>
      </w:r>
      <w:r w:rsidRPr="006408EA">
        <w:rPr>
          <w:i/>
        </w:rPr>
        <w:t>imprese non classificate”</w:t>
      </w:r>
      <w:r w:rsidRPr="006408EA">
        <w:t xml:space="preserve">; si tratta di imprese che vengono iscritte, ma alle quali non viene immediatamente attribuito alcun codice di attività economica esercitata. </w:t>
      </w:r>
      <w:r w:rsidRPr="006408EA">
        <w:rPr>
          <w:i/>
        </w:rPr>
        <w:t>In</w:t>
      </w:r>
      <w:r w:rsidRPr="006408EA">
        <w:t xml:space="preserve"> </w:t>
      </w:r>
      <w:r w:rsidRPr="006408EA">
        <w:rPr>
          <w:i/>
        </w:rPr>
        <w:t>provincia di Rimini</w:t>
      </w:r>
      <w:r w:rsidRPr="006408EA">
        <w:t xml:space="preserve">, </w:t>
      </w:r>
      <w:r w:rsidRPr="006408EA">
        <w:rPr>
          <w:i/>
        </w:rPr>
        <w:t>nel periodo gennaio-settembre 2014</w:t>
      </w:r>
      <w:r w:rsidRPr="006408EA">
        <w:t>, queste ammontano a 616 unità, pari al 32,4% del totale delle nuove iscrizioni; pertanto nell’analisi della dinamica imprenditoriale per settore economico occorre tener ben presente che vi è una sottostima delle nuove registrazioni, che rende negativi i saldi demografici di quasi tutti i settori economici.</w:t>
      </w:r>
      <w:r w:rsidRPr="00FA72BA">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90" w:rsidRDefault="00165490" w:rsidP="00266E62">
    <w:pPr>
      <w:pStyle w:val="intestazionepari"/>
    </w:pPr>
    <w:r>
      <w:rPr>
        <w:noProof/>
      </w:rPr>
      <w:pict>
        <v:rect id="_x0000_s2049" style="position:absolute;margin-left:17.75pt;margin-top:0;width:28.35pt;height:28.35pt;z-index:251660288;mso-position-horizontal-relative:page;mso-position-vertical:center;mso-position-vertical-relative:page;v-text-anchor:middle" o:allowincell="f" fillcolor="#d8d8d8" stroked="f">
          <v:textbox style="mso-next-textbox:#_x0000_s2049" inset="0,0,0,0">
            <w:txbxContent>
              <w:p w:rsidR="00165490" w:rsidRPr="00BC7915" w:rsidRDefault="00165490" w:rsidP="00533A47">
                <w:pPr>
                  <w:jc w:val="center"/>
                  <w:rPr>
                    <w:rStyle w:val="Numeropagina"/>
                    <w:sz w:val="36"/>
                  </w:rPr>
                </w:pPr>
                <w:r w:rsidRPr="00BC7915">
                  <w:rPr>
                    <w:rStyle w:val="Numeropagina"/>
                    <w:smallCaps/>
                    <w:sz w:val="36"/>
                  </w:rPr>
                  <w:fldChar w:fldCharType="begin"/>
                </w:r>
                <w:r w:rsidRPr="00BC7915">
                  <w:rPr>
                    <w:rStyle w:val="Numeropagina"/>
                    <w:smallCaps/>
                    <w:sz w:val="36"/>
                  </w:rPr>
                  <w:instrText xml:space="preserve"> PAGE  \* MERGEFORMAT </w:instrText>
                </w:r>
                <w:r w:rsidRPr="00BC7915">
                  <w:rPr>
                    <w:rStyle w:val="Numeropagina"/>
                    <w:smallCaps/>
                    <w:sz w:val="36"/>
                  </w:rPr>
                  <w:fldChar w:fldCharType="separate"/>
                </w:r>
                <w:r w:rsidR="007C26C8" w:rsidRPr="007C26C8">
                  <w:rPr>
                    <w:rStyle w:val="Numeropagina"/>
                    <w:noProof/>
                    <w:sz w:val="36"/>
                  </w:rPr>
                  <w:t>10</w:t>
                </w:r>
                <w:r w:rsidRPr="00BC7915">
                  <w:rPr>
                    <w:rStyle w:val="Numeropagina"/>
                    <w:smallCaps/>
                    <w:sz w:val="36"/>
                  </w:rPr>
                  <w:fldChar w:fldCharType="end"/>
                </w:r>
              </w:p>
            </w:txbxContent>
          </v:textbox>
          <w10:wrap anchorx="margin" anchory="page"/>
        </v:rect>
      </w:pict>
    </w:r>
    <w:r>
      <w:t>congiuntura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90" w:rsidRDefault="00165490" w:rsidP="00335E0E">
    <w:pPr>
      <w:pStyle w:val="intestazionedispari"/>
    </w:pPr>
    <w:r>
      <w:rPr>
        <w:noProof/>
      </w:rPr>
      <w:pict>
        <v:rect id="_x0000_s2050" style="position:absolute;left:0;text-align:left;margin-left:549.2pt;margin-top:0;width:28.35pt;height:28.35pt;z-index:251662336;mso-position-horizontal-relative:page;mso-position-vertical:center;mso-position-vertical-relative:page;v-text-anchor:middle" o:allowincell="f" fillcolor="#d8d8d8" stroked="f">
          <v:textbox style="mso-next-textbox:#_x0000_s2050" inset="0,0,0,0">
            <w:txbxContent>
              <w:p w:rsidR="00165490" w:rsidRPr="00BC7915" w:rsidRDefault="00165490" w:rsidP="00335E0E">
                <w:pPr>
                  <w:jc w:val="center"/>
                  <w:rPr>
                    <w:rStyle w:val="Numeropagina"/>
                    <w:sz w:val="36"/>
                  </w:rPr>
                </w:pPr>
                <w:r w:rsidRPr="00BC7915">
                  <w:rPr>
                    <w:rStyle w:val="Numeropagina"/>
                    <w:smallCaps/>
                    <w:sz w:val="36"/>
                  </w:rPr>
                  <w:fldChar w:fldCharType="begin"/>
                </w:r>
                <w:r w:rsidRPr="00BC7915">
                  <w:rPr>
                    <w:rStyle w:val="Numeropagina"/>
                    <w:smallCaps/>
                    <w:sz w:val="36"/>
                  </w:rPr>
                  <w:instrText xml:space="preserve"> PAGE  \* MERGEFORMAT </w:instrText>
                </w:r>
                <w:r w:rsidRPr="00BC7915">
                  <w:rPr>
                    <w:rStyle w:val="Numeropagina"/>
                    <w:smallCaps/>
                    <w:sz w:val="36"/>
                  </w:rPr>
                  <w:fldChar w:fldCharType="separate"/>
                </w:r>
                <w:r w:rsidR="007C26C8" w:rsidRPr="007C26C8">
                  <w:rPr>
                    <w:rStyle w:val="Numeropagina"/>
                    <w:noProof/>
                    <w:sz w:val="36"/>
                  </w:rPr>
                  <w:t>19</w:t>
                </w:r>
                <w:r w:rsidRPr="00BC7915">
                  <w:rPr>
                    <w:rStyle w:val="Numeropagina"/>
                    <w:smallCaps/>
                    <w:sz w:val="36"/>
                  </w:rPr>
                  <w:fldChar w:fldCharType="end"/>
                </w:r>
              </w:p>
            </w:txbxContent>
          </v:textbox>
          <w10:wrap anchorx="page" anchory="page"/>
        </v:rect>
      </w:pict>
    </w:r>
    <w:r w:rsidRPr="00A93CAD">
      <w:t xml:space="preserve">indagine sulle piccole e medie imprese. </w:t>
    </w:r>
    <w:r>
      <w:t>3° trimestre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112FA"/>
    <w:multiLevelType w:val="multilevel"/>
    <w:tmpl w:val="5420CE02"/>
    <w:lvl w:ilvl="0">
      <w:start w:val="1"/>
      <w:numFmt w:val="bullet"/>
      <w:lvlText w:val=""/>
      <w:lvlJc w:val="left"/>
      <w:pPr>
        <w:tabs>
          <w:tab w:val="num" w:pos="284"/>
        </w:tabs>
        <w:ind w:left="510" w:hanging="510"/>
      </w:pPr>
      <w:rPr>
        <w:rFonts w:ascii="Symbol" w:hAnsi="Symbol" w:hint="default"/>
        <w:color w:val="auto"/>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
    <w:nsid w:val="17462021"/>
    <w:multiLevelType w:val="hybridMultilevel"/>
    <w:tmpl w:val="86922D82"/>
    <w:lvl w:ilvl="0" w:tplc="764CDF14">
      <w:start w:val="1"/>
      <w:numFmt w:val="bullet"/>
      <w:lvlText w:val=""/>
      <w:lvlJc w:val="left"/>
      <w:pPr>
        <w:tabs>
          <w:tab w:val="num" w:pos="568"/>
        </w:tabs>
        <w:ind w:left="284"/>
      </w:pPr>
      <w:rPr>
        <w:rFonts w:ascii="Symbol" w:hAnsi="Symbol" w:hint="default"/>
        <w:color w:val="auto"/>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
    <w:nsid w:val="2C700BB9"/>
    <w:multiLevelType w:val="hybridMultilevel"/>
    <w:tmpl w:val="F80A464C"/>
    <w:lvl w:ilvl="0" w:tplc="80FA6D9A">
      <w:start w:val="1"/>
      <w:numFmt w:val="bullet"/>
      <w:lvlText w:val=""/>
      <w:lvlJc w:val="left"/>
      <w:pPr>
        <w:tabs>
          <w:tab w:val="num" w:pos="284"/>
        </w:tabs>
        <w:ind w:left="284" w:hanging="284"/>
      </w:pPr>
      <w:rPr>
        <w:rFonts w:ascii="Symbol" w:hAnsi="Symbol" w:hint="default"/>
        <w:color w:val="auto"/>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
    <w:nsid w:val="33452762"/>
    <w:multiLevelType w:val="multilevel"/>
    <w:tmpl w:val="0410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3E2D7508"/>
    <w:multiLevelType w:val="hybridMultilevel"/>
    <w:tmpl w:val="EDDA4734"/>
    <w:lvl w:ilvl="0" w:tplc="F00EEB74">
      <w:start w:val="1"/>
      <w:numFmt w:val="bullet"/>
      <w:lvlText w:val=""/>
      <w:lvlJc w:val="left"/>
      <w:pPr>
        <w:tabs>
          <w:tab w:val="num" w:pos="568"/>
        </w:tabs>
        <w:ind w:left="510" w:hanging="226"/>
      </w:pPr>
      <w:rPr>
        <w:rFonts w:ascii="Symbol" w:hAnsi="Symbol" w:hint="default"/>
        <w:color w:val="auto"/>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5">
    <w:nsid w:val="3EAA37B8"/>
    <w:multiLevelType w:val="multilevel"/>
    <w:tmpl w:val="86922D82"/>
    <w:lvl w:ilvl="0">
      <w:start w:val="1"/>
      <w:numFmt w:val="bullet"/>
      <w:lvlText w:val=""/>
      <w:lvlJc w:val="left"/>
      <w:pPr>
        <w:tabs>
          <w:tab w:val="num" w:pos="568"/>
        </w:tabs>
        <w:ind w:left="284"/>
      </w:pPr>
      <w:rPr>
        <w:rFonts w:ascii="Symbol" w:hAnsi="Symbol" w:hint="default"/>
        <w:color w:val="auto"/>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6">
    <w:nsid w:val="502E32D2"/>
    <w:multiLevelType w:val="multilevel"/>
    <w:tmpl w:val="EDDA4734"/>
    <w:lvl w:ilvl="0">
      <w:start w:val="1"/>
      <w:numFmt w:val="bullet"/>
      <w:lvlText w:val=""/>
      <w:lvlJc w:val="left"/>
      <w:pPr>
        <w:tabs>
          <w:tab w:val="num" w:pos="568"/>
        </w:tabs>
        <w:ind w:left="510" w:hanging="226"/>
      </w:pPr>
      <w:rPr>
        <w:rFonts w:ascii="Symbol" w:hAnsi="Symbol" w:hint="default"/>
        <w:color w:val="auto"/>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nsid w:val="614967BD"/>
    <w:multiLevelType w:val="hybridMultilevel"/>
    <w:tmpl w:val="191CC548"/>
    <w:lvl w:ilvl="0" w:tplc="EA5C5D10">
      <w:start w:val="1"/>
      <w:numFmt w:val="bullet"/>
      <w:lvlText w:val=""/>
      <w:lvlJc w:val="left"/>
      <w:pPr>
        <w:tabs>
          <w:tab w:val="num" w:pos="284"/>
        </w:tabs>
        <w:ind w:left="510" w:hanging="226"/>
      </w:pPr>
      <w:rPr>
        <w:rFonts w:ascii="Symbol" w:hAnsi="Symbol" w:hint="default"/>
        <w:color w:val="auto"/>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8">
    <w:nsid w:val="6445782A"/>
    <w:multiLevelType w:val="hybridMultilevel"/>
    <w:tmpl w:val="5420CE02"/>
    <w:lvl w:ilvl="0" w:tplc="E1AADD98">
      <w:start w:val="1"/>
      <w:numFmt w:val="bullet"/>
      <w:lvlText w:val=""/>
      <w:lvlJc w:val="left"/>
      <w:pPr>
        <w:tabs>
          <w:tab w:val="num" w:pos="284"/>
        </w:tabs>
        <w:ind w:left="510" w:hanging="510"/>
      </w:pPr>
      <w:rPr>
        <w:rFonts w:ascii="Symbol" w:hAnsi="Symbol" w:hint="default"/>
        <w:color w:val="auto"/>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9">
    <w:nsid w:val="65E25544"/>
    <w:multiLevelType w:val="multilevel"/>
    <w:tmpl w:val="191CC548"/>
    <w:lvl w:ilvl="0">
      <w:start w:val="1"/>
      <w:numFmt w:val="bullet"/>
      <w:lvlText w:val=""/>
      <w:lvlJc w:val="left"/>
      <w:pPr>
        <w:tabs>
          <w:tab w:val="num" w:pos="284"/>
        </w:tabs>
        <w:ind w:left="510" w:hanging="226"/>
      </w:pPr>
      <w:rPr>
        <w:rFonts w:ascii="Symbol" w:hAnsi="Symbol" w:hint="default"/>
        <w:color w:val="auto"/>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nsid w:val="689F6D0A"/>
    <w:multiLevelType w:val="hybridMultilevel"/>
    <w:tmpl w:val="EA6842B8"/>
    <w:lvl w:ilvl="0" w:tplc="B6F2FB72">
      <w:start w:val="1"/>
      <w:numFmt w:val="bullet"/>
      <w:lvlText w:val=""/>
      <w:lvlJc w:val="left"/>
      <w:pPr>
        <w:tabs>
          <w:tab w:val="num" w:pos="284"/>
        </w:tabs>
        <w:ind w:left="284" w:hanging="284"/>
      </w:pPr>
      <w:rPr>
        <w:rFonts w:ascii="Symbol" w:hAnsi="Symbol" w:hint="default"/>
        <w:color w:val="auto"/>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1">
    <w:nsid w:val="73292F4D"/>
    <w:multiLevelType w:val="multilevel"/>
    <w:tmpl w:val="F80A464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2">
    <w:nsid w:val="7E195314"/>
    <w:multiLevelType w:val="multilevel"/>
    <w:tmpl w:val="86922D82"/>
    <w:lvl w:ilvl="0">
      <w:start w:val="1"/>
      <w:numFmt w:val="bullet"/>
      <w:lvlText w:val=""/>
      <w:lvlJc w:val="left"/>
      <w:pPr>
        <w:tabs>
          <w:tab w:val="num" w:pos="568"/>
        </w:tabs>
        <w:ind w:left="284"/>
      </w:pPr>
      <w:rPr>
        <w:rFonts w:ascii="Symbol" w:hAnsi="Symbol" w:hint="default"/>
        <w:color w:val="auto"/>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6"/>
  </w:num>
  <w:num w:numId="6">
    <w:abstractNumId w:val="7"/>
  </w:num>
  <w:num w:numId="7">
    <w:abstractNumId w:val="9"/>
  </w:num>
  <w:num w:numId="8">
    <w:abstractNumId w:val="8"/>
  </w:num>
  <w:num w:numId="9">
    <w:abstractNumId w:val="0"/>
  </w:num>
  <w:num w:numId="10">
    <w:abstractNumId w:val="2"/>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proofState w:spelling="clean"/>
  <w:attachedTemplate r:id="rId1"/>
  <w:stylePaneFormatFilter w:val="3F01"/>
  <w:defaultTabStop w:val="709"/>
  <w:consecutiveHyphenLimit w:val="3"/>
  <w:hyphenationZone w:val="142"/>
  <w:doNotHyphenateCaps/>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335E0E"/>
    <w:rsid w:val="00010587"/>
    <w:rsid w:val="00015B61"/>
    <w:rsid w:val="0002309D"/>
    <w:rsid w:val="00023432"/>
    <w:rsid w:val="0002428B"/>
    <w:rsid w:val="0002495F"/>
    <w:rsid w:val="00025948"/>
    <w:rsid w:val="00041319"/>
    <w:rsid w:val="0004184D"/>
    <w:rsid w:val="00042B3E"/>
    <w:rsid w:val="00045AE7"/>
    <w:rsid w:val="00045BE3"/>
    <w:rsid w:val="000527D5"/>
    <w:rsid w:val="00053B92"/>
    <w:rsid w:val="00055D83"/>
    <w:rsid w:val="00057251"/>
    <w:rsid w:val="00057743"/>
    <w:rsid w:val="0006018E"/>
    <w:rsid w:val="00063103"/>
    <w:rsid w:val="000652AD"/>
    <w:rsid w:val="000705CB"/>
    <w:rsid w:val="00071161"/>
    <w:rsid w:val="000745C1"/>
    <w:rsid w:val="00075F6D"/>
    <w:rsid w:val="00081208"/>
    <w:rsid w:val="00081AC2"/>
    <w:rsid w:val="000829E2"/>
    <w:rsid w:val="00084C23"/>
    <w:rsid w:val="000859AF"/>
    <w:rsid w:val="00085ACB"/>
    <w:rsid w:val="0008761D"/>
    <w:rsid w:val="00092526"/>
    <w:rsid w:val="000970D8"/>
    <w:rsid w:val="000A5C46"/>
    <w:rsid w:val="000B0DE2"/>
    <w:rsid w:val="000C1322"/>
    <w:rsid w:val="000C3457"/>
    <w:rsid w:val="000C3728"/>
    <w:rsid w:val="000C501F"/>
    <w:rsid w:val="000C5044"/>
    <w:rsid w:val="000C59E9"/>
    <w:rsid w:val="000C5E4D"/>
    <w:rsid w:val="000C62F9"/>
    <w:rsid w:val="000C7AE1"/>
    <w:rsid w:val="000D30F1"/>
    <w:rsid w:val="000D3E89"/>
    <w:rsid w:val="000E3480"/>
    <w:rsid w:val="000F0074"/>
    <w:rsid w:val="000F0C96"/>
    <w:rsid w:val="000F1B0A"/>
    <w:rsid w:val="000F4E4D"/>
    <w:rsid w:val="00103523"/>
    <w:rsid w:val="00103628"/>
    <w:rsid w:val="00111485"/>
    <w:rsid w:val="001115B5"/>
    <w:rsid w:val="001117F8"/>
    <w:rsid w:val="00111C20"/>
    <w:rsid w:val="001122FE"/>
    <w:rsid w:val="0011292A"/>
    <w:rsid w:val="001145EA"/>
    <w:rsid w:val="0011594C"/>
    <w:rsid w:val="00117B05"/>
    <w:rsid w:val="001202E2"/>
    <w:rsid w:val="0012072C"/>
    <w:rsid w:val="00121FA3"/>
    <w:rsid w:val="00134FC4"/>
    <w:rsid w:val="001355A9"/>
    <w:rsid w:val="00141D13"/>
    <w:rsid w:val="00142542"/>
    <w:rsid w:val="001460AE"/>
    <w:rsid w:val="00152632"/>
    <w:rsid w:val="001612D4"/>
    <w:rsid w:val="00163510"/>
    <w:rsid w:val="00164A1A"/>
    <w:rsid w:val="00165490"/>
    <w:rsid w:val="00165E61"/>
    <w:rsid w:val="00165F3C"/>
    <w:rsid w:val="00172934"/>
    <w:rsid w:val="0017452B"/>
    <w:rsid w:val="00177871"/>
    <w:rsid w:val="00177C9F"/>
    <w:rsid w:val="001812BC"/>
    <w:rsid w:val="001812CC"/>
    <w:rsid w:val="00183681"/>
    <w:rsid w:val="0018404A"/>
    <w:rsid w:val="00190415"/>
    <w:rsid w:val="001927A4"/>
    <w:rsid w:val="0019469F"/>
    <w:rsid w:val="00197087"/>
    <w:rsid w:val="001A699F"/>
    <w:rsid w:val="001B06FB"/>
    <w:rsid w:val="001B1673"/>
    <w:rsid w:val="001B1CB4"/>
    <w:rsid w:val="001B2501"/>
    <w:rsid w:val="001B2933"/>
    <w:rsid w:val="001B2AE3"/>
    <w:rsid w:val="001B4E98"/>
    <w:rsid w:val="001B65B5"/>
    <w:rsid w:val="001B68C6"/>
    <w:rsid w:val="001B7ABB"/>
    <w:rsid w:val="001C6C4A"/>
    <w:rsid w:val="001D4310"/>
    <w:rsid w:val="001D689E"/>
    <w:rsid w:val="001D6C77"/>
    <w:rsid w:val="001D6C86"/>
    <w:rsid w:val="001D6C91"/>
    <w:rsid w:val="001D7A38"/>
    <w:rsid w:val="001F0130"/>
    <w:rsid w:val="001F1F6B"/>
    <w:rsid w:val="001F5E5E"/>
    <w:rsid w:val="001F6365"/>
    <w:rsid w:val="001F686E"/>
    <w:rsid w:val="00201EC3"/>
    <w:rsid w:val="0020596C"/>
    <w:rsid w:val="00211F5A"/>
    <w:rsid w:val="00212766"/>
    <w:rsid w:val="00213D14"/>
    <w:rsid w:val="00214CA1"/>
    <w:rsid w:val="0021533F"/>
    <w:rsid w:val="00217007"/>
    <w:rsid w:val="00217D51"/>
    <w:rsid w:val="0022137A"/>
    <w:rsid w:val="00223DB4"/>
    <w:rsid w:val="002310B0"/>
    <w:rsid w:val="00231908"/>
    <w:rsid w:val="00233B5B"/>
    <w:rsid w:val="002356EC"/>
    <w:rsid w:val="00235884"/>
    <w:rsid w:val="00237427"/>
    <w:rsid w:val="00241775"/>
    <w:rsid w:val="0025032E"/>
    <w:rsid w:val="00252D37"/>
    <w:rsid w:val="00254561"/>
    <w:rsid w:val="00255CD9"/>
    <w:rsid w:val="00261377"/>
    <w:rsid w:val="002668C7"/>
    <w:rsid w:val="00266E62"/>
    <w:rsid w:val="00267EC9"/>
    <w:rsid w:val="0027123E"/>
    <w:rsid w:val="00271594"/>
    <w:rsid w:val="00275816"/>
    <w:rsid w:val="002760F4"/>
    <w:rsid w:val="0027640A"/>
    <w:rsid w:val="00277A8B"/>
    <w:rsid w:val="00280B2D"/>
    <w:rsid w:val="00284940"/>
    <w:rsid w:val="00286D3E"/>
    <w:rsid w:val="00286E94"/>
    <w:rsid w:val="002940AF"/>
    <w:rsid w:val="002958FA"/>
    <w:rsid w:val="0029671E"/>
    <w:rsid w:val="0029735A"/>
    <w:rsid w:val="002A0110"/>
    <w:rsid w:val="002A1296"/>
    <w:rsid w:val="002A1ED0"/>
    <w:rsid w:val="002B4027"/>
    <w:rsid w:val="002B50CD"/>
    <w:rsid w:val="002B78C6"/>
    <w:rsid w:val="002D0002"/>
    <w:rsid w:val="002D152E"/>
    <w:rsid w:val="002D407B"/>
    <w:rsid w:val="002D43F3"/>
    <w:rsid w:val="002D4AAC"/>
    <w:rsid w:val="002D748A"/>
    <w:rsid w:val="002E7993"/>
    <w:rsid w:val="002F099F"/>
    <w:rsid w:val="002F0C94"/>
    <w:rsid w:val="002F4FF4"/>
    <w:rsid w:val="002F5B83"/>
    <w:rsid w:val="00307E54"/>
    <w:rsid w:val="0031046E"/>
    <w:rsid w:val="0031061C"/>
    <w:rsid w:val="0031199F"/>
    <w:rsid w:val="0031267C"/>
    <w:rsid w:val="003164A9"/>
    <w:rsid w:val="00322AB5"/>
    <w:rsid w:val="00326E3F"/>
    <w:rsid w:val="00332FE8"/>
    <w:rsid w:val="0033450F"/>
    <w:rsid w:val="00335E0E"/>
    <w:rsid w:val="00336B32"/>
    <w:rsid w:val="00340A8D"/>
    <w:rsid w:val="00340C71"/>
    <w:rsid w:val="003575E7"/>
    <w:rsid w:val="00364583"/>
    <w:rsid w:val="0036609A"/>
    <w:rsid w:val="00366BC9"/>
    <w:rsid w:val="00366C84"/>
    <w:rsid w:val="00373729"/>
    <w:rsid w:val="003749DD"/>
    <w:rsid w:val="00375797"/>
    <w:rsid w:val="00380B4F"/>
    <w:rsid w:val="00381908"/>
    <w:rsid w:val="00381EE0"/>
    <w:rsid w:val="0038259F"/>
    <w:rsid w:val="00383ABD"/>
    <w:rsid w:val="00386FFF"/>
    <w:rsid w:val="003874E6"/>
    <w:rsid w:val="00392223"/>
    <w:rsid w:val="00392B11"/>
    <w:rsid w:val="00394ECA"/>
    <w:rsid w:val="00395678"/>
    <w:rsid w:val="0039730B"/>
    <w:rsid w:val="003A275F"/>
    <w:rsid w:val="003A3FBB"/>
    <w:rsid w:val="003A44C5"/>
    <w:rsid w:val="003A46C0"/>
    <w:rsid w:val="003A7CCF"/>
    <w:rsid w:val="003B62BB"/>
    <w:rsid w:val="003B6400"/>
    <w:rsid w:val="003B682B"/>
    <w:rsid w:val="003B6DEC"/>
    <w:rsid w:val="003B701F"/>
    <w:rsid w:val="003B748B"/>
    <w:rsid w:val="003C0D2E"/>
    <w:rsid w:val="003C1FAC"/>
    <w:rsid w:val="003C3956"/>
    <w:rsid w:val="003C4131"/>
    <w:rsid w:val="003C79EF"/>
    <w:rsid w:val="003E235F"/>
    <w:rsid w:val="003E3F7B"/>
    <w:rsid w:val="003E56B5"/>
    <w:rsid w:val="003E616B"/>
    <w:rsid w:val="003F1265"/>
    <w:rsid w:val="003F13E3"/>
    <w:rsid w:val="003F39E2"/>
    <w:rsid w:val="00400661"/>
    <w:rsid w:val="004029AB"/>
    <w:rsid w:val="00403A3D"/>
    <w:rsid w:val="00405BB3"/>
    <w:rsid w:val="00405E5C"/>
    <w:rsid w:val="00406DE9"/>
    <w:rsid w:val="004110F4"/>
    <w:rsid w:val="00416734"/>
    <w:rsid w:val="00416FD7"/>
    <w:rsid w:val="004178B5"/>
    <w:rsid w:val="004220D8"/>
    <w:rsid w:val="00425AB0"/>
    <w:rsid w:val="00430AC8"/>
    <w:rsid w:val="004312DF"/>
    <w:rsid w:val="004352C5"/>
    <w:rsid w:val="004360DA"/>
    <w:rsid w:val="00441EEE"/>
    <w:rsid w:val="00444B96"/>
    <w:rsid w:val="00447648"/>
    <w:rsid w:val="0045130D"/>
    <w:rsid w:val="00454102"/>
    <w:rsid w:val="00456EDB"/>
    <w:rsid w:val="00456FF0"/>
    <w:rsid w:val="004570A7"/>
    <w:rsid w:val="0046358A"/>
    <w:rsid w:val="00464B0E"/>
    <w:rsid w:val="00465741"/>
    <w:rsid w:val="00465EE5"/>
    <w:rsid w:val="00472D9A"/>
    <w:rsid w:val="0047599D"/>
    <w:rsid w:val="00480B8B"/>
    <w:rsid w:val="0048202C"/>
    <w:rsid w:val="00483506"/>
    <w:rsid w:val="0048415A"/>
    <w:rsid w:val="0048492F"/>
    <w:rsid w:val="00484F48"/>
    <w:rsid w:val="0048617A"/>
    <w:rsid w:val="0049053F"/>
    <w:rsid w:val="00491624"/>
    <w:rsid w:val="00494EE2"/>
    <w:rsid w:val="00496E61"/>
    <w:rsid w:val="0049714D"/>
    <w:rsid w:val="004A03A4"/>
    <w:rsid w:val="004A1E55"/>
    <w:rsid w:val="004A3407"/>
    <w:rsid w:val="004A7500"/>
    <w:rsid w:val="004B0239"/>
    <w:rsid w:val="004B288E"/>
    <w:rsid w:val="004B38B5"/>
    <w:rsid w:val="004B5E25"/>
    <w:rsid w:val="004B7B6B"/>
    <w:rsid w:val="004C0C7C"/>
    <w:rsid w:val="004C1171"/>
    <w:rsid w:val="004C13A5"/>
    <w:rsid w:val="004C1689"/>
    <w:rsid w:val="004C1DFD"/>
    <w:rsid w:val="004C341F"/>
    <w:rsid w:val="004C5F87"/>
    <w:rsid w:val="004C5FAE"/>
    <w:rsid w:val="004D1EE5"/>
    <w:rsid w:val="004D23EC"/>
    <w:rsid w:val="004D3277"/>
    <w:rsid w:val="004E03DF"/>
    <w:rsid w:val="004E0DE1"/>
    <w:rsid w:val="004E21E4"/>
    <w:rsid w:val="004E2776"/>
    <w:rsid w:val="004E2C4A"/>
    <w:rsid w:val="004E34DB"/>
    <w:rsid w:val="004E5CAA"/>
    <w:rsid w:val="004E793D"/>
    <w:rsid w:val="004E7A58"/>
    <w:rsid w:val="004F5431"/>
    <w:rsid w:val="004F5E11"/>
    <w:rsid w:val="005000B2"/>
    <w:rsid w:val="00501387"/>
    <w:rsid w:val="00501A68"/>
    <w:rsid w:val="00505781"/>
    <w:rsid w:val="0051452C"/>
    <w:rsid w:val="00515055"/>
    <w:rsid w:val="005223EA"/>
    <w:rsid w:val="00526788"/>
    <w:rsid w:val="00533536"/>
    <w:rsid w:val="00533721"/>
    <w:rsid w:val="00533A47"/>
    <w:rsid w:val="00536885"/>
    <w:rsid w:val="00541787"/>
    <w:rsid w:val="005418B8"/>
    <w:rsid w:val="00543B5D"/>
    <w:rsid w:val="00547DDA"/>
    <w:rsid w:val="00554987"/>
    <w:rsid w:val="00560B62"/>
    <w:rsid w:val="005712ED"/>
    <w:rsid w:val="005764DA"/>
    <w:rsid w:val="005778E6"/>
    <w:rsid w:val="00587DCE"/>
    <w:rsid w:val="00593B98"/>
    <w:rsid w:val="00597BB5"/>
    <w:rsid w:val="005B0759"/>
    <w:rsid w:val="005B0AA6"/>
    <w:rsid w:val="005B2AE1"/>
    <w:rsid w:val="005B4598"/>
    <w:rsid w:val="005C70E7"/>
    <w:rsid w:val="005D1791"/>
    <w:rsid w:val="005D2884"/>
    <w:rsid w:val="005D38A6"/>
    <w:rsid w:val="005D572A"/>
    <w:rsid w:val="005E147A"/>
    <w:rsid w:val="005E78B2"/>
    <w:rsid w:val="005F04D9"/>
    <w:rsid w:val="005F0C6B"/>
    <w:rsid w:val="005F0CBA"/>
    <w:rsid w:val="006030F6"/>
    <w:rsid w:val="00605147"/>
    <w:rsid w:val="00606EBD"/>
    <w:rsid w:val="00607E34"/>
    <w:rsid w:val="006105E9"/>
    <w:rsid w:val="00612756"/>
    <w:rsid w:val="00614DA1"/>
    <w:rsid w:val="00616714"/>
    <w:rsid w:val="00616E1B"/>
    <w:rsid w:val="00622806"/>
    <w:rsid w:val="0063108F"/>
    <w:rsid w:val="00632F35"/>
    <w:rsid w:val="00633796"/>
    <w:rsid w:val="00636636"/>
    <w:rsid w:val="00636D88"/>
    <w:rsid w:val="00636F34"/>
    <w:rsid w:val="006373DB"/>
    <w:rsid w:val="006408EA"/>
    <w:rsid w:val="006411A5"/>
    <w:rsid w:val="006428EB"/>
    <w:rsid w:val="00653CAE"/>
    <w:rsid w:val="00653D82"/>
    <w:rsid w:val="00655C55"/>
    <w:rsid w:val="00656112"/>
    <w:rsid w:val="00661661"/>
    <w:rsid w:val="00661D65"/>
    <w:rsid w:val="006624D2"/>
    <w:rsid w:val="00664284"/>
    <w:rsid w:val="006647A1"/>
    <w:rsid w:val="00670799"/>
    <w:rsid w:val="00672558"/>
    <w:rsid w:val="00672AE4"/>
    <w:rsid w:val="00672DC7"/>
    <w:rsid w:val="006730A6"/>
    <w:rsid w:val="00674FF8"/>
    <w:rsid w:val="00677103"/>
    <w:rsid w:val="0068042B"/>
    <w:rsid w:val="00682044"/>
    <w:rsid w:val="0068497A"/>
    <w:rsid w:val="006865E4"/>
    <w:rsid w:val="00686F7C"/>
    <w:rsid w:val="00692DA8"/>
    <w:rsid w:val="00697BAF"/>
    <w:rsid w:val="006A31F4"/>
    <w:rsid w:val="006A649A"/>
    <w:rsid w:val="006B086F"/>
    <w:rsid w:val="006B0FAC"/>
    <w:rsid w:val="006B68C3"/>
    <w:rsid w:val="006B6C80"/>
    <w:rsid w:val="006C03B7"/>
    <w:rsid w:val="006C1D31"/>
    <w:rsid w:val="006C1D80"/>
    <w:rsid w:val="006C2BDD"/>
    <w:rsid w:val="006D4F97"/>
    <w:rsid w:val="006D61A4"/>
    <w:rsid w:val="006D72A6"/>
    <w:rsid w:val="006E0A86"/>
    <w:rsid w:val="006E444E"/>
    <w:rsid w:val="006E5266"/>
    <w:rsid w:val="006F15A6"/>
    <w:rsid w:val="00706678"/>
    <w:rsid w:val="00707A95"/>
    <w:rsid w:val="00707D33"/>
    <w:rsid w:val="00710B64"/>
    <w:rsid w:val="00710D71"/>
    <w:rsid w:val="00711D3F"/>
    <w:rsid w:val="00750F59"/>
    <w:rsid w:val="00753123"/>
    <w:rsid w:val="0075316B"/>
    <w:rsid w:val="007544E0"/>
    <w:rsid w:val="00755429"/>
    <w:rsid w:val="00757740"/>
    <w:rsid w:val="00761A06"/>
    <w:rsid w:val="00761C71"/>
    <w:rsid w:val="00763164"/>
    <w:rsid w:val="00764B2B"/>
    <w:rsid w:val="00764E9E"/>
    <w:rsid w:val="007777A7"/>
    <w:rsid w:val="00791805"/>
    <w:rsid w:val="00791BF0"/>
    <w:rsid w:val="007955EB"/>
    <w:rsid w:val="007979A6"/>
    <w:rsid w:val="007A25E5"/>
    <w:rsid w:val="007A48AB"/>
    <w:rsid w:val="007A746C"/>
    <w:rsid w:val="007B18DF"/>
    <w:rsid w:val="007B1E66"/>
    <w:rsid w:val="007B3E17"/>
    <w:rsid w:val="007B440E"/>
    <w:rsid w:val="007B4D98"/>
    <w:rsid w:val="007C19C2"/>
    <w:rsid w:val="007C2068"/>
    <w:rsid w:val="007C26C8"/>
    <w:rsid w:val="007C51EA"/>
    <w:rsid w:val="007C6182"/>
    <w:rsid w:val="007C710E"/>
    <w:rsid w:val="007D00D9"/>
    <w:rsid w:val="007D0D1A"/>
    <w:rsid w:val="007D4F13"/>
    <w:rsid w:val="007E2182"/>
    <w:rsid w:val="007E27CD"/>
    <w:rsid w:val="007E4AB6"/>
    <w:rsid w:val="007F134A"/>
    <w:rsid w:val="007F1541"/>
    <w:rsid w:val="007F2DC5"/>
    <w:rsid w:val="00805E7D"/>
    <w:rsid w:val="0080745F"/>
    <w:rsid w:val="008146DE"/>
    <w:rsid w:val="00814D6F"/>
    <w:rsid w:val="00815215"/>
    <w:rsid w:val="00817322"/>
    <w:rsid w:val="00822078"/>
    <w:rsid w:val="00825086"/>
    <w:rsid w:val="008265A4"/>
    <w:rsid w:val="008300A6"/>
    <w:rsid w:val="0083073E"/>
    <w:rsid w:val="0083276F"/>
    <w:rsid w:val="00836CA6"/>
    <w:rsid w:val="008435E8"/>
    <w:rsid w:val="00843934"/>
    <w:rsid w:val="00845215"/>
    <w:rsid w:val="00851AC6"/>
    <w:rsid w:val="00853B6C"/>
    <w:rsid w:val="00856969"/>
    <w:rsid w:val="00860386"/>
    <w:rsid w:val="0086067A"/>
    <w:rsid w:val="00862626"/>
    <w:rsid w:val="008653A9"/>
    <w:rsid w:val="0086553C"/>
    <w:rsid w:val="00871542"/>
    <w:rsid w:val="00873FBC"/>
    <w:rsid w:val="008746D5"/>
    <w:rsid w:val="00875682"/>
    <w:rsid w:val="00875F01"/>
    <w:rsid w:val="0088600C"/>
    <w:rsid w:val="00890FAF"/>
    <w:rsid w:val="008913ED"/>
    <w:rsid w:val="00894308"/>
    <w:rsid w:val="00894A47"/>
    <w:rsid w:val="00896E49"/>
    <w:rsid w:val="008A12E4"/>
    <w:rsid w:val="008A574D"/>
    <w:rsid w:val="008A7F25"/>
    <w:rsid w:val="008B00FD"/>
    <w:rsid w:val="008B68CF"/>
    <w:rsid w:val="008C370A"/>
    <w:rsid w:val="008C6F76"/>
    <w:rsid w:val="008C796E"/>
    <w:rsid w:val="008C7CC8"/>
    <w:rsid w:val="008D2015"/>
    <w:rsid w:val="008D27BC"/>
    <w:rsid w:val="008D6732"/>
    <w:rsid w:val="008D718E"/>
    <w:rsid w:val="008D7976"/>
    <w:rsid w:val="008E0E97"/>
    <w:rsid w:val="008E1445"/>
    <w:rsid w:val="008E661D"/>
    <w:rsid w:val="008F1978"/>
    <w:rsid w:val="008F2053"/>
    <w:rsid w:val="008F2D7E"/>
    <w:rsid w:val="008F7750"/>
    <w:rsid w:val="008F7957"/>
    <w:rsid w:val="009018C7"/>
    <w:rsid w:val="00902AD2"/>
    <w:rsid w:val="00906445"/>
    <w:rsid w:val="00915BBB"/>
    <w:rsid w:val="009162CA"/>
    <w:rsid w:val="00916D4C"/>
    <w:rsid w:val="00917092"/>
    <w:rsid w:val="00920EF4"/>
    <w:rsid w:val="00923EA3"/>
    <w:rsid w:val="0092414A"/>
    <w:rsid w:val="00924940"/>
    <w:rsid w:val="00925CE3"/>
    <w:rsid w:val="00936985"/>
    <w:rsid w:val="0094740A"/>
    <w:rsid w:val="00952376"/>
    <w:rsid w:val="009528DF"/>
    <w:rsid w:val="00956C25"/>
    <w:rsid w:val="00957580"/>
    <w:rsid w:val="00971FB0"/>
    <w:rsid w:val="009726D9"/>
    <w:rsid w:val="00972FBC"/>
    <w:rsid w:val="00975AD4"/>
    <w:rsid w:val="00975DC0"/>
    <w:rsid w:val="0098035E"/>
    <w:rsid w:val="00980E6B"/>
    <w:rsid w:val="00981479"/>
    <w:rsid w:val="00981BD9"/>
    <w:rsid w:val="00982F56"/>
    <w:rsid w:val="00985365"/>
    <w:rsid w:val="00985769"/>
    <w:rsid w:val="009864A8"/>
    <w:rsid w:val="009901CB"/>
    <w:rsid w:val="009A067A"/>
    <w:rsid w:val="009A4379"/>
    <w:rsid w:val="009A5530"/>
    <w:rsid w:val="009B0A70"/>
    <w:rsid w:val="009C148B"/>
    <w:rsid w:val="009C3182"/>
    <w:rsid w:val="009C4E60"/>
    <w:rsid w:val="009C54C5"/>
    <w:rsid w:val="009D0676"/>
    <w:rsid w:val="009D09AB"/>
    <w:rsid w:val="009D55B4"/>
    <w:rsid w:val="009D6196"/>
    <w:rsid w:val="009E328E"/>
    <w:rsid w:val="009E4097"/>
    <w:rsid w:val="009F1CBF"/>
    <w:rsid w:val="009F6E34"/>
    <w:rsid w:val="00A1228B"/>
    <w:rsid w:val="00A14804"/>
    <w:rsid w:val="00A17FAD"/>
    <w:rsid w:val="00A31080"/>
    <w:rsid w:val="00A3150F"/>
    <w:rsid w:val="00A3297E"/>
    <w:rsid w:val="00A33118"/>
    <w:rsid w:val="00A33D79"/>
    <w:rsid w:val="00A35545"/>
    <w:rsid w:val="00A35864"/>
    <w:rsid w:val="00A406AA"/>
    <w:rsid w:val="00A42C49"/>
    <w:rsid w:val="00A452E4"/>
    <w:rsid w:val="00A46509"/>
    <w:rsid w:val="00A52E55"/>
    <w:rsid w:val="00A5616D"/>
    <w:rsid w:val="00A60B2B"/>
    <w:rsid w:val="00A61A21"/>
    <w:rsid w:val="00A62CF2"/>
    <w:rsid w:val="00A67EE3"/>
    <w:rsid w:val="00A71268"/>
    <w:rsid w:val="00A80DCB"/>
    <w:rsid w:val="00A84C41"/>
    <w:rsid w:val="00A86425"/>
    <w:rsid w:val="00A90CA3"/>
    <w:rsid w:val="00A91FC2"/>
    <w:rsid w:val="00A93CAD"/>
    <w:rsid w:val="00AA0289"/>
    <w:rsid w:val="00AA11F8"/>
    <w:rsid w:val="00AA26D6"/>
    <w:rsid w:val="00AA35B5"/>
    <w:rsid w:val="00AA6964"/>
    <w:rsid w:val="00AA7BC1"/>
    <w:rsid w:val="00AB1F2A"/>
    <w:rsid w:val="00AC0054"/>
    <w:rsid w:val="00AC0FCC"/>
    <w:rsid w:val="00AC6C4B"/>
    <w:rsid w:val="00AD0B28"/>
    <w:rsid w:val="00AD20A7"/>
    <w:rsid w:val="00AD2563"/>
    <w:rsid w:val="00AD7C27"/>
    <w:rsid w:val="00AD7EA0"/>
    <w:rsid w:val="00AE055F"/>
    <w:rsid w:val="00AE592F"/>
    <w:rsid w:val="00AF1B0B"/>
    <w:rsid w:val="00AF4408"/>
    <w:rsid w:val="00AF5066"/>
    <w:rsid w:val="00B01595"/>
    <w:rsid w:val="00B0163D"/>
    <w:rsid w:val="00B07809"/>
    <w:rsid w:val="00B07A95"/>
    <w:rsid w:val="00B11855"/>
    <w:rsid w:val="00B11BC1"/>
    <w:rsid w:val="00B14248"/>
    <w:rsid w:val="00B15533"/>
    <w:rsid w:val="00B205B4"/>
    <w:rsid w:val="00B272DD"/>
    <w:rsid w:val="00B27C58"/>
    <w:rsid w:val="00B27C7D"/>
    <w:rsid w:val="00B358AE"/>
    <w:rsid w:val="00B40697"/>
    <w:rsid w:val="00B459E8"/>
    <w:rsid w:val="00B55935"/>
    <w:rsid w:val="00B617E7"/>
    <w:rsid w:val="00B716E3"/>
    <w:rsid w:val="00B7200D"/>
    <w:rsid w:val="00B84F25"/>
    <w:rsid w:val="00B910B2"/>
    <w:rsid w:val="00B91E78"/>
    <w:rsid w:val="00B96DBD"/>
    <w:rsid w:val="00B973B8"/>
    <w:rsid w:val="00BA1865"/>
    <w:rsid w:val="00BA2DC7"/>
    <w:rsid w:val="00BA7247"/>
    <w:rsid w:val="00BB1D1A"/>
    <w:rsid w:val="00BB35D4"/>
    <w:rsid w:val="00BC0945"/>
    <w:rsid w:val="00BC1274"/>
    <w:rsid w:val="00BC312F"/>
    <w:rsid w:val="00BC7915"/>
    <w:rsid w:val="00BD596F"/>
    <w:rsid w:val="00BD60D1"/>
    <w:rsid w:val="00BE1FAF"/>
    <w:rsid w:val="00BE2191"/>
    <w:rsid w:val="00BE28C2"/>
    <w:rsid w:val="00BE5E3F"/>
    <w:rsid w:val="00BF3264"/>
    <w:rsid w:val="00BF472E"/>
    <w:rsid w:val="00BF4EEB"/>
    <w:rsid w:val="00BF52E8"/>
    <w:rsid w:val="00BF62D4"/>
    <w:rsid w:val="00BF7E0C"/>
    <w:rsid w:val="00C00215"/>
    <w:rsid w:val="00C0073A"/>
    <w:rsid w:val="00C01CE9"/>
    <w:rsid w:val="00C1021A"/>
    <w:rsid w:val="00C112F8"/>
    <w:rsid w:val="00C150CE"/>
    <w:rsid w:val="00C17A8A"/>
    <w:rsid w:val="00C200E9"/>
    <w:rsid w:val="00C22BB3"/>
    <w:rsid w:val="00C26523"/>
    <w:rsid w:val="00C34D13"/>
    <w:rsid w:val="00C351A3"/>
    <w:rsid w:val="00C379E0"/>
    <w:rsid w:val="00C41456"/>
    <w:rsid w:val="00C43EC9"/>
    <w:rsid w:val="00C46C07"/>
    <w:rsid w:val="00C54634"/>
    <w:rsid w:val="00C55259"/>
    <w:rsid w:val="00C60DFB"/>
    <w:rsid w:val="00C6611C"/>
    <w:rsid w:val="00C67A33"/>
    <w:rsid w:val="00C67F46"/>
    <w:rsid w:val="00C72A80"/>
    <w:rsid w:val="00C73FE4"/>
    <w:rsid w:val="00C742A2"/>
    <w:rsid w:val="00C752B2"/>
    <w:rsid w:val="00C75D7E"/>
    <w:rsid w:val="00C801C7"/>
    <w:rsid w:val="00C93046"/>
    <w:rsid w:val="00C95C98"/>
    <w:rsid w:val="00C97438"/>
    <w:rsid w:val="00C97896"/>
    <w:rsid w:val="00CA2031"/>
    <w:rsid w:val="00CA353A"/>
    <w:rsid w:val="00CA5690"/>
    <w:rsid w:val="00CA77B6"/>
    <w:rsid w:val="00CA799E"/>
    <w:rsid w:val="00CB4DE6"/>
    <w:rsid w:val="00CB6836"/>
    <w:rsid w:val="00CD2B1E"/>
    <w:rsid w:val="00CD3DDE"/>
    <w:rsid w:val="00CE32EF"/>
    <w:rsid w:val="00CE6F07"/>
    <w:rsid w:val="00CE7003"/>
    <w:rsid w:val="00CF36E8"/>
    <w:rsid w:val="00CF3860"/>
    <w:rsid w:val="00CF5DB6"/>
    <w:rsid w:val="00CF6B05"/>
    <w:rsid w:val="00CF7BAA"/>
    <w:rsid w:val="00D021B5"/>
    <w:rsid w:val="00D03077"/>
    <w:rsid w:val="00D0432C"/>
    <w:rsid w:val="00D04B4C"/>
    <w:rsid w:val="00D0712D"/>
    <w:rsid w:val="00D0786F"/>
    <w:rsid w:val="00D145D7"/>
    <w:rsid w:val="00D16949"/>
    <w:rsid w:val="00D24615"/>
    <w:rsid w:val="00D2469A"/>
    <w:rsid w:val="00D319EB"/>
    <w:rsid w:val="00D3399A"/>
    <w:rsid w:val="00D45DAF"/>
    <w:rsid w:val="00D529E5"/>
    <w:rsid w:val="00D5400A"/>
    <w:rsid w:val="00D56737"/>
    <w:rsid w:val="00D62182"/>
    <w:rsid w:val="00D62CAA"/>
    <w:rsid w:val="00D64CB1"/>
    <w:rsid w:val="00D65425"/>
    <w:rsid w:val="00D7113A"/>
    <w:rsid w:val="00D72E1C"/>
    <w:rsid w:val="00D73FBC"/>
    <w:rsid w:val="00D76A57"/>
    <w:rsid w:val="00D81881"/>
    <w:rsid w:val="00D82BF2"/>
    <w:rsid w:val="00D831EA"/>
    <w:rsid w:val="00D83ED7"/>
    <w:rsid w:val="00D85387"/>
    <w:rsid w:val="00D85502"/>
    <w:rsid w:val="00D86A25"/>
    <w:rsid w:val="00D87CB6"/>
    <w:rsid w:val="00D902B4"/>
    <w:rsid w:val="00D91011"/>
    <w:rsid w:val="00D927B1"/>
    <w:rsid w:val="00D9514D"/>
    <w:rsid w:val="00DA31C9"/>
    <w:rsid w:val="00DA462B"/>
    <w:rsid w:val="00DA6A3F"/>
    <w:rsid w:val="00DB251A"/>
    <w:rsid w:val="00DB3E9A"/>
    <w:rsid w:val="00DC0B54"/>
    <w:rsid w:val="00DC447C"/>
    <w:rsid w:val="00DC60C3"/>
    <w:rsid w:val="00DC67F5"/>
    <w:rsid w:val="00DD02FF"/>
    <w:rsid w:val="00DD0444"/>
    <w:rsid w:val="00DD2A92"/>
    <w:rsid w:val="00DD2AC2"/>
    <w:rsid w:val="00DD3AD9"/>
    <w:rsid w:val="00DD4304"/>
    <w:rsid w:val="00DF7F2A"/>
    <w:rsid w:val="00E00B90"/>
    <w:rsid w:val="00E01922"/>
    <w:rsid w:val="00E02B6A"/>
    <w:rsid w:val="00E02D9D"/>
    <w:rsid w:val="00E034F5"/>
    <w:rsid w:val="00E0530D"/>
    <w:rsid w:val="00E10315"/>
    <w:rsid w:val="00E1181E"/>
    <w:rsid w:val="00E160B1"/>
    <w:rsid w:val="00E17C69"/>
    <w:rsid w:val="00E23F91"/>
    <w:rsid w:val="00E2507F"/>
    <w:rsid w:val="00E25AD1"/>
    <w:rsid w:val="00E26584"/>
    <w:rsid w:val="00E31EE4"/>
    <w:rsid w:val="00E328D1"/>
    <w:rsid w:val="00E41170"/>
    <w:rsid w:val="00E4382E"/>
    <w:rsid w:val="00E45DBC"/>
    <w:rsid w:val="00E467A7"/>
    <w:rsid w:val="00E51B8A"/>
    <w:rsid w:val="00E52158"/>
    <w:rsid w:val="00E53FB2"/>
    <w:rsid w:val="00E547DB"/>
    <w:rsid w:val="00E55BA8"/>
    <w:rsid w:val="00E56BE1"/>
    <w:rsid w:val="00E61624"/>
    <w:rsid w:val="00E7232F"/>
    <w:rsid w:val="00E74456"/>
    <w:rsid w:val="00E74E21"/>
    <w:rsid w:val="00E75A14"/>
    <w:rsid w:val="00E814F1"/>
    <w:rsid w:val="00E8291B"/>
    <w:rsid w:val="00E849F7"/>
    <w:rsid w:val="00E86CE1"/>
    <w:rsid w:val="00E97D2C"/>
    <w:rsid w:val="00EA05E6"/>
    <w:rsid w:val="00EA130B"/>
    <w:rsid w:val="00EA198E"/>
    <w:rsid w:val="00EA2E0A"/>
    <w:rsid w:val="00EA3D43"/>
    <w:rsid w:val="00EA48E6"/>
    <w:rsid w:val="00EA668E"/>
    <w:rsid w:val="00EA735A"/>
    <w:rsid w:val="00EB331D"/>
    <w:rsid w:val="00EB4A3E"/>
    <w:rsid w:val="00EB4C05"/>
    <w:rsid w:val="00EB7CDD"/>
    <w:rsid w:val="00EC03C3"/>
    <w:rsid w:val="00EC1A9C"/>
    <w:rsid w:val="00EC2810"/>
    <w:rsid w:val="00EC379D"/>
    <w:rsid w:val="00EC49FB"/>
    <w:rsid w:val="00EC7AF2"/>
    <w:rsid w:val="00ED0012"/>
    <w:rsid w:val="00ED239E"/>
    <w:rsid w:val="00ED4E41"/>
    <w:rsid w:val="00EE5FD3"/>
    <w:rsid w:val="00EE6AE6"/>
    <w:rsid w:val="00EF249F"/>
    <w:rsid w:val="00EF5B88"/>
    <w:rsid w:val="00F05D05"/>
    <w:rsid w:val="00F05FB9"/>
    <w:rsid w:val="00F076EE"/>
    <w:rsid w:val="00F11C00"/>
    <w:rsid w:val="00F206FC"/>
    <w:rsid w:val="00F22075"/>
    <w:rsid w:val="00F27141"/>
    <w:rsid w:val="00F33392"/>
    <w:rsid w:val="00F33DEF"/>
    <w:rsid w:val="00F352B9"/>
    <w:rsid w:val="00F37942"/>
    <w:rsid w:val="00F465F5"/>
    <w:rsid w:val="00F4794A"/>
    <w:rsid w:val="00F514E9"/>
    <w:rsid w:val="00F53B37"/>
    <w:rsid w:val="00F5633E"/>
    <w:rsid w:val="00F61F70"/>
    <w:rsid w:val="00F635B4"/>
    <w:rsid w:val="00F64B17"/>
    <w:rsid w:val="00F72164"/>
    <w:rsid w:val="00F735EF"/>
    <w:rsid w:val="00F76477"/>
    <w:rsid w:val="00F81B1C"/>
    <w:rsid w:val="00F8548A"/>
    <w:rsid w:val="00F8647B"/>
    <w:rsid w:val="00F9164D"/>
    <w:rsid w:val="00F937AB"/>
    <w:rsid w:val="00F953E7"/>
    <w:rsid w:val="00FA04F1"/>
    <w:rsid w:val="00FA15B8"/>
    <w:rsid w:val="00FA1ED4"/>
    <w:rsid w:val="00FA40A8"/>
    <w:rsid w:val="00FA72BA"/>
    <w:rsid w:val="00FB0781"/>
    <w:rsid w:val="00FB4121"/>
    <w:rsid w:val="00FB469E"/>
    <w:rsid w:val="00FC0A30"/>
    <w:rsid w:val="00FC36B9"/>
    <w:rsid w:val="00FC4CFB"/>
    <w:rsid w:val="00FD3D6C"/>
    <w:rsid w:val="00FD43CF"/>
    <w:rsid w:val="00FD57A5"/>
    <w:rsid w:val="00FD656C"/>
    <w:rsid w:val="00FD68E0"/>
    <w:rsid w:val="00FD6D5C"/>
    <w:rsid w:val="00FE1590"/>
    <w:rsid w:val="00FE22FE"/>
    <w:rsid w:val="00FE249E"/>
    <w:rsid w:val="00FE387C"/>
    <w:rsid w:val="00FE47D7"/>
    <w:rsid w:val="00FF09FB"/>
    <w:rsid w:val="00FF0E13"/>
    <w:rsid w:val="00FF103E"/>
    <w:rsid w:val="00FF2D4F"/>
    <w:rsid w:val="00FF443A"/>
    <w:rsid w:val="00FF58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574D"/>
    <w:pPr>
      <w:jc w:val="both"/>
    </w:pPr>
    <w:rPr>
      <w:rFonts w:ascii="Arial" w:hAnsi="Arial"/>
      <w:sz w:val="19"/>
      <w:szCs w:val="24"/>
    </w:rPr>
  </w:style>
  <w:style w:type="paragraph" w:styleId="Titolo1">
    <w:name w:val="heading 1"/>
    <w:basedOn w:val="Normale"/>
    <w:next w:val="Normale"/>
    <w:link w:val="Titolo1Carattere"/>
    <w:uiPriority w:val="99"/>
    <w:qFormat/>
    <w:rsid w:val="00FE1590"/>
    <w:pPr>
      <w:keepNext/>
      <w:keepLines/>
      <w:spacing w:before="480"/>
      <w:outlineLvl w:val="0"/>
    </w:pPr>
    <w:rPr>
      <w:rFonts w:ascii="Cambria" w:hAnsi="Cambria"/>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E1590"/>
    <w:rPr>
      <w:rFonts w:ascii="Cambria" w:hAnsi="Cambria" w:cs="Times New Roman"/>
      <w:b/>
      <w:bCs/>
      <w:color w:val="365F91"/>
      <w:sz w:val="28"/>
      <w:szCs w:val="28"/>
    </w:rPr>
  </w:style>
  <w:style w:type="paragraph" w:customStyle="1" w:styleId="figure">
    <w:name w:val="figure"/>
    <w:basedOn w:val="Normale"/>
    <w:next w:val="Normale"/>
    <w:qFormat/>
    <w:rsid w:val="003C79EF"/>
    <w:pPr>
      <w:jc w:val="center"/>
    </w:pPr>
    <w:rPr>
      <w:sz w:val="16"/>
    </w:rPr>
  </w:style>
  <w:style w:type="paragraph" w:customStyle="1" w:styleId="figuretitolo">
    <w:name w:val="figure titolo"/>
    <w:basedOn w:val="Normale"/>
    <w:next w:val="figure"/>
    <w:qFormat/>
    <w:rsid w:val="00AE592F"/>
    <w:pPr>
      <w:keepNext/>
      <w:keepLines/>
    </w:pPr>
    <w:rPr>
      <w:i/>
      <w:color w:val="C00000"/>
      <w:sz w:val="18"/>
    </w:rPr>
  </w:style>
  <w:style w:type="paragraph" w:customStyle="1" w:styleId="fineoggettoword">
    <w:name w:val="fine oggetto word"/>
    <w:basedOn w:val="Normale"/>
    <w:uiPriority w:val="99"/>
    <w:rsid w:val="004312DF"/>
    <w:pPr>
      <w:jc w:val="left"/>
    </w:pPr>
    <w:rPr>
      <w:sz w:val="10"/>
    </w:rPr>
  </w:style>
  <w:style w:type="paragraph" w:customStyle="1" w:styleId="tabfonte">
    <w:name w:val="tab fonte"/>
    <w:basedOn w:val="figurefonte"/>
    <w:uiPriority w:val="99"/>
    <w:rsid w:val="00142542"/>
    <w:pPr>
      <w:spacing w:before="60"/>
    </w:pPr>
  </w:style>
  <w:style w:type="paragraph" w:customStyle="1" w:styleId="titoloa">
    <w:name w:val="titolo a"/>
    <w:basedOn w:val="Normale"/>
    <w:uiPriority w:val="99"/>
    <w:rsid w:val="008A574D"/>
    <w:pPr>
      <w:keepNext/>
      <w:keepLines/>
      <w:spacing w:before="120" w:after="60"/>
      <w:outlineLvl w:val="1"/>
    </w:pPr>
    <w:rPr>
      <w:color w:val="C00000"/>
      <w:sz w:val="22"/>
    </w:rPr>
  </w:style>
  <w:style w:type="paragraph" w:styleId="Intestazione">
    <w:name w:val="header"/>
    <w:basedOn w:val="Normale"/>
    <w:link w:val="IntestazioneCarattere"/>
    <w:uiPriority w:val="99"/>
    <w:rsid w:val="0004184D"/>
    <w:pPr>
      <w:jc w:val="center"/>
    </w:pPr>
    <w:rPr>
      <w:smallCaps/>
      <w:sz w:val="18"/>
    </w:rPr>
  </w:style>
  <w:style w:type="character" w:customStyle="1" w:styleId="IntestazioneCarattere">
    <w:name w:val="Intestazione Carattere"/>
    <w:basedOn w:val="Carpredefinitoparagrafo"/>
    <w:link w:val="Intestazione"/>
    <w:uiPriority w:val="99"/>
    <w:locked/>
    <w:rsid w:val="0004184D"/>
    <w:rPr>
      <w:rFonts w:ascii="Arial" w:hAnsi="Arial" w:cs="Times New Roman"/>
      <w:smallCaps/>
      <w:sz w:val="24"/>
      <w:szCs w:val="24"/>
    </w:rPr>
  </w:style>
  <w:style w:type="paragraph" w:styleId="Pidipagina">
    <w:name w:val="footer"/>
    <w:basedOn w:val="Intestazione"/>
    <w:link w:val="PidipaginaCarattere"/>
    <w:uiPriority w:val="99"/>
    <w:rsid w:val="00241775"/>
    <w:pPr>
      <w:tabs>
        <w:tab w:val="center" w:pos="4819"/>
        <w:tab w:val="right" w:pos="9638"/>
      </w:tabs>
    </w:pPr>
  </w:style>
  <w:style w:type="character" w:customStyle="1" w:styleId="PidipaginaCarattere">
    <w:name w:val="Piè di pagina Carattere"/>
    <w:basedOn w:val="Carpredefinitoparagrafo"/>
    <w:link w:val="Pidipagina"/>
    <w:uiPriority w:val="99"/>
    <w:locked/>
    <w:rsid w:val="00241775"/>
    <w:rPr>
      <w:rFonts w:ascii="Arial" w:hAnsi="Arial" w:cs="Times New Roman"/>
      <w:smallCaps/>
      <w:sz w:val="24"/>
      <w:szCs w:val="24"/>
    </w:rPr>
  </w:style>
  <w:style w:type="paragraph" w:customStyle="1" w:styleId="intestazionedispari">
    <w:name w:val="intestazione dispari"/>
    <w:basedOn w:val="Intestazione"/>
    <w:uiPriority w:val="99"/>
    <w:rsid w:val="00241775"/>
    <w:pPr>
      <w:jc w:val="right"/>
    </w:pPr>
  </w:style>
  <w:style w:type="paragraph" w:customStyle="1" w:styleId="intestazionepari">
    <w:name w:val="intestazione pari"/>
    <w:basedOn w:val="Intestazione"/>
    <w:uiPriority w:val="99"/>
    <w:rsid w:val="00241775"/>
    <w:pPr>
      <w:jc w:val="left"/>
    </w:pPr>
  </w:style>
  <w:style w:type="paragraph" w:customStyle="1" w:styleId="tabtitolo">
    <w:name w:val="tab titolo"/>
    <w:basedOn w:val="figuretitolo"/>
    <w:uiPriority w:val="99"/>
    <w:rsid w:val="00241775"/>
    <w:pPr>
      <w:spacing w:after="60"/>
    </w:pPr>
  </w:style>
  <w:style w:type="paragraph" w:customStyle="1" w:styleId="figurenote">
    <w:name w:val="figure note"/>
    <w:basedOn w:val="Normale"/>
    <w:next w:val="Normale"/>
    <w:uiPriority w:val="99"/>
    <w:rsid w:val="00FA40A8"/>
    <w:pPr>
      <w:keepLines/>
    </w:pPr>
    <w:rPr>
      <w:sz w:val="16"/>
    </w:rPr>
  </w:style>
  <w:style w:type="paragraph" w:customStyle="1" w:styleId="tabnote">
    <w:name w:val="tab note"/>
    <w:basedOn w:val="figurenote"/>
    <w:qFormat/>
    <w:rsid w:val="00142542"/>
    <w:pPr>
      <w:spacing w:before="60"/>
    </w:pPr>
  </w:style>
  <w:style w:type="paragraph" w:customStyle="1" w:styleId="figurefonte">
    <w:name w:val="figure fonte"/>
    <w:basedOn w:val="Normale"/>
    <w:next w:val="Normale"/>
    <w:qFormat/>
    <w:rsid w:val="00142542"/>
    <w:pPr>
      <w:keepLines/>
    </w:pPr>
    <w:rPr>
      <w:color w:val="C00000"/>
      <w:sz w:val="16"/>
    </w:rPr>
  </w:style>
  <w:style w:type="paragraph" w:customStyle="1" w:styleId="tabnum">
    <w:name w:val="tab num"/>
    <w:basedOn w:val="Normale"/>
    <w:qFormat/>
    <w:rsid w:val="009A4379"/>
    <w:pPr>
      <w:keepLines/>
      <w:jc w:val="right"/>
    </w:pPr>
    <w:rPr>
      <w:sz w:val="16"/>
    </w:rPr>
  </w:style>
  <w:style w:type="paragraph" w:customStyle="1" w:styleId="tabintest">
    <w:name w:val="tab intest"/>
    <w:basedOn w:val="Normale"/>
    <w:uiPriority w:val="99"/>
    <w:rsid w:val="00CA77B6"/>
    <w:pPr>
      <w:keepLines/>
      <w:spacing w:before="60" w:after="60"/>
      <w:jc w:val="center"/>
    </w:pPr>
    <w:rPr>
      <w:sz w:val="16"/>
    </w:rPr>
  </w:style>
  <w:style w:type="paragraph" w:customStyle="1" w:styleId="tabintestsup">
    <w:name w:val="tab intest sup"/>
    <w:basedOn w:val="tabintest"/>
    <w:uiPriority w:val="99"/>
    <w:rsid w:val="00406DE9"/>
    <w:pPr>
      <w:spacing w:after="50"/>
    </w:pPr>
  </w:style>
  <w:style w:type="paragraph" w:customStyle="1" w:styleId="tabintestinf">
    <w:name w:val="tab intest inf"/>
    <w:basedOn w:val="tabintest"/>
    <w:uiPriority w:val="99"/>
    <w:rsid w:val="00E4382E"/>
    <w:pPr>
      <w:spacing w:before="0"/>
    </w:pPr>
  </w:style>
  <w:style w:type="paragraph" w:customStyle="1" w:styleId="tabintestcen">
    <w:name w:val="tab intest cen"/>
    <w:basedOn w:val="tabintest"/>
    <w:uiPriority w:val="99"/>
    <w:rsid w:val="006C1D31"/>
    <w:pPr>
      <w:spacing w:before="0" w:after="50"/>
    </w:pPr>
  </w:style>
  <w:style w:type="paragraph" w:customStyle="1" w:styleId="tabintestsupline">
    <w:name w:val="tab intest sup line"/>
    <w:basedOn w:val="tabintestsup"/>
    <w:uiPriority w:val="99"/>
    <w:rsid w:val="00406DE9"/>
    <w:pPr>
      <w:pBdr>
        <w:bottom w:val="single" w:sz="4" w:space="1" w:color="auto"/>
      </w:pBdr>
      <w:spacing w:after="20"/>
      <w:ind w:left="57" w:right="57"/>
    </w:pPr>
  </w:style>
  <w:style w:type="paragraph" w:customStyle="1" w:styleId="tabintestcenline">
    <w:name w:val="tab intest cen line"/>
    <w:basedOn w:val="tabintestcen"/>
    <w:uiPriority w:val="99"/>
    <w:rsid w:val="006C1D31"/>
    <w:pPr>
      <w:pBdr>
        <w:bottom w:val="single" w:sz="4" w:space="1" w:color="auto"/>
      </w:pBdr>
      <w:spacing w:after="20"/>
      <w:ind w:left="57" w:right="57"/>
    </w:pPr>
  </w:style>
  <w:style w:type="paragraph" w:customStyle="1" w:styleId="titoloa1">
    <w:name w:val="titolo a 1°"/>
    <w:basedOn w:val="titoloa"/>
    <w:uiPriority w:val="99"/>
    <w:rsid w:val="00266E62"/>
    <w:pPr>
      <w:spacing w:before="0"/>
    </w:pPr>
  </w:style>
  <w:style w:type="character" w:styleId="Numeropagina">
    <w:name w:val="page number"/>
    <w:basedOn w:val="Carpredefinitoparagrafo"/>
    <w:uiPriority w:val="99"/>
    <w:rsid w:val="00BC7915"/>
    <w:rPr>
      <w:rFonts w:ascii="Tahoma" w:hAnsi="Tahoma" w:cs="Times New Roman"/>
      <w:color w:val="C00000"/>
      <w:sz w:val="22"/>
      <w:szCs w:val="22"/>
      <w:lang w:val="it-IT"/>
    </w:rPr>
  </w:style>
  <w:style w:type="paragraph" w:customStyle="1" w:styleId="titolob">
    <w:name w:val="titolo b"/>
    <w:basedOn w:val="Normale"/>
    <w:next w:val="Normale"/>
    <w:uiPriority w:val="99"/>
    <w:rsid w:val="008A574D"/>
    <w:pPr>
      <w:keepNext/>
      <w:keepLines/>
      <w:spacing w:before="60"/>
      <w:outlineLvl w:val="2"/>
    </w:pPr>
    <w:rPr>
      <w:b/>
    </w:rPr>
  </w:style>
  <w:style w:type="paragraph" w:customStyle="1" w:styleId="Titolosommario1">
    <w:name w:val="Titolo sommario1"/>
    <w:basedOn w:val="Titolo1"/>
    <w:next w:val="Normale"/>
    <w:uiPriority w:val="99"/>
    <w:rsid w:val="00C22BB3"/>
    <w:pPr>
      <w:spacing w:before="0" w:after="60" w:line="276" w:lineRule="auto"/>
      <w:jc w:val="left"/>
      <w:outlineLvl w:val="9"/>
    </w:pPr>
    <w:rPr>
      <w:rFonts w:ascii="Arial" w:hAnsi="Arial"/>
      <w:color w:val="C00000"/>
      <w:sz w:val="22"/>
      <w:lang w:eastAsia="en-US"/>
    </w:rPr>
  </w:style>
  <w:style w:type="paragraph" w:styleId="Sommario2">
    <w:name w:val="toc 2"/>
    <w:basedOn w:val="Normale"/>
    <w:next w:val="Normale"/>
    <w:autoRedefine/>
    <w:uiPriority w:val="99"/>
    <w:rsid w:val="00FE1590"/>
    <w:pPr>
      <w:spacing w:after="60"/>
      <w:ind w:left="193"/>
    </w:pPr>
  </w:style>
  <w:style w:type="paragraph" w:styleId="Sommario3">
    <w:name w:val="toc 3"/>
    <w:basedOn w:val="Normale"/>
    <w:next w:val="Normale"/>
    <w:autoRedefine/>
    <w:uiPriority w:val="99"/>
    <w:rsid w:val="00FE1590"/>
    <w:pPr>
      <w:spacing w:after="60"/>
      <w:ind w:left="380"/>
    </w:pPr>
  </w:style>
  <w:style w:type="character" w:styleId="Collegamentoipertestuale">
    <w:name w:val="Hyperlink"/>
    <w:basedOn w:val="Carpredefinitoparagrafo"/>
    <w:uiPriority w:val="99"/>
    <w:rsid w:val="00FE1590"/>
    <w:rPr>
      <w:rFonts w:cs="Times New Roman"/>
      <w:color w:val="0000FF"/>
      <w:u w:val="single"/>
    </w:rPr>
  </w:style>
  <w:style w:type="paragraph" w:styleId="Testofumetto">
    <w:name w:val="Balloon Text"/>
    <w:basedOn w:val="Normale"/>
    <w:link w:val="TestofumettoCarattere"/>
    <w:uiPriority w:val="99"/>
    <w:rsid w:val="00763164"/>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763164"/>
    <w:rPr>
      <w:rFonts w:ascii="Tahoma" w:hAnsi="Tahoma" w:cs="Tahoma"/>
      <w:sz w:val="16"/>
      <w:szCs w:val="16"/>
    </w:rPr>
  </w:style>
  <w:style w:type="paragraph" w:styleId="Sommario1">
    <w:name w:val="toc 1"/>
    <w:basedOn w:val="Normale"/>
    <w:next w:val="Normale"/>
    <w:autoRedefine/>
    <w:uiPriority w:val="99"/>
    <w:rsid w:val="00FE1590"/>
    <w:pPr>
      <w:spacing w:after="60" w:line="276" w:lineRule="auto"/>
      <w:jc w:val="left"/>
    </w:pPr>
    <w:rPr>
      <w:sz w:val="22"/>
      <w:szCs w:val="22"/>
      <w:lang w:eastAsia="en-US"/>
    </w:rPr>
  </w:style>
  <w:style w:type="character" w:customStyle="1" w:styleId="titoloscenarioer22pt">
    <w:name w:val="titolo scenario er 22 pt"/>
    <w:basedOn w:val="titoloscenarioer28pt"/>
    <w:uiPriority w:val="99"/>
    <w:rsid w:val="007777A7"/>
    <w:rPr>
      <w:sz w:val="44"/>
    </w:rPr>
  </w:style>
  <w:style w:type="paragraph" w:customStyle="1" w:styleId="pidipaginaurl">
    <w:name w:val="piè di pagina url"/>
    <w:basedOn w:val="Pidipagina"/>
    <w:uiPriority w:val="99"/>
    <w:rsid w:val="00670799"/>
    <w:rPr>
      <w:smallCaps w:val="0"/>
      <w:color w:val="0070C0"/>
    </w:rPr>
  </w:style>
  <w:style w:type="character" w:customStyle="1" w:styleId="titoloscenarioer28pt">
    <w:name w:val="titolo scenario er 28 pt"/>
    <w:basedOn w:val="Carpredefinitoparagrafo"/>
    <w:uiPriority w:val="99"/>
    <w:rsid w:val="00873FBC"/>
    <w:rPr>
      <w:rFonts w:ascii="Monospac821 BT" w:hAnsi="Monospac821 BT" w:cs="Courier New"/>
      <w:color w:val="808080"/>
      <w:sz w:val="56"/>
    </w:rPr>
  </w:style>
  <w:style w:type="paragraph" w:customStyle="1" w:styleId="titolosottoindaginepmi">
    <w:name w:val="titolo sotto indagine pmi"/>
    <w:basedOn w:val="Normale"/>
    <w:uiPriority w:val="99"/>
    <w:rsid w:val="002F0C94"/>
    <w:pPr>
      <w:keepNext/>
      <w:keepLines/>
      <w:spacing w:before="120"/>
    </w:pPr>
    <w:rPr>
      <w:b/>
      <w:color w:val="C00000"/>
      <w:sz w:val="22"/>
    </w:rPr>
  </w:style>
  <w:style w:type="character" w:customStyle="1" w:styleId="csbarracomuinicatostampa">
    <w:name w:val="cs barra comuinicato stampa"/>
    <w:basedOn w:val="Carpredefinitoparagrafo"/>
    <w:uiPriority w:val="99"/>
    <w:rsid w:val="00E55BA8"/>
    <w:rPr>
      <w:rFonts w:ascii="Monospac821 BT" w:hAnsi="Monospac821 BT" w:cs="Courier New"/>
      <w:color w:val="808080"/>
      <w:sz w:val="44"/>
    </w:rPr>
  </w:style>
  <w:style w:type="paragraph" w:customStyle="1" w:styleId="nascosto">
    <w:name w:val="nascosto"/>
    <w:basedOn w:val="Normale"/>
    <w:uiPriority w:val="99"/>
    <w:rsid w:val="004570A7"/>
    <w:rPr>
      <w:vanish/>
      <w:color w:val="CC00CC"/>
    </w:rPr>
  </w:style>
  <w:style w:type="paragraph" w:customStyle="1" w:styleId="intestazionedisparicomepari">
    <w:name w:val="intestazione dispari come pari"/>
    <w:basedOn w:val="intestazionepari"/>
    <w:uiPriority w:val="99"/>
    <w:rsid w:val="00B01595"/>
    <w:pPr>
      <w:jc w:val="right"/>
    </w:pPr>
    <w:rPr>
      <w:noProof/>
    </w:rPr>
  </w:style>
  <w:style w:type="paragraph" w:customStyle="1" w:styleId="titolosottoedizione16pt">
    <w:name w:val="titolo sotto edizione 16pt"/>
    <w:basedOn w:val="titolosottoindaginepmi"/>
    <w:uiPriority w:val="99"/>
    <w:rsid w:val="00464B0E"/>
    <w:pPr>
      <w:jc w:val="right"/>
    </w:pPr>
    <w:rPr>
      <w:rFonts w:ascii="Monospac821 BT" w:hAnsi="Monospac821 BT"/>
      <w:bCs/>
      <w:sz w:val="32"/>
      <w:szCs w:val="20"/>
    </w:rPr>
  </w:style>
  <w:style w:type="paragraph" w:styleId="Testonotaapidipagina">
    <w:name w:val="footnote text"/>
    <w:basedOn w:val="Normale"/>
    <w:link w:val="TestonotaapidipaginaCarattere"/>
    <w:uiPriority w:val="99"/>
    <w:rsid w:val="003B748B"/>
    <w:rPr>
      <w:sz w:val="18"/>
      <w:szCs w:val="20"/>
    </w:rPr>
  </w:style>
  <w:style w:type="character" w:customStyle="1" w:styleId="TestonotaapidipaginaCarattere">
    <w:name w:val="Testo nota a piè di pagina Carattere"/>
    <w:basedOn w:val="Carpredefinitoparagrafo"/>
    <w:link w:val="Testonotaapidipagina"/>
    <w:uiPriority w:val="99"/>
    <w:locked/>
    <w:rsid w:val="003B748B"/>
    <w:rPr>
      <w:rFonts w:ascii="Arial" w:hAnsi="Arial" w:cs="Times New Roman"/>
      <w:sz w:val="18"/>
    </w:rPr>
  </w:style>
  <w:style w:type="paragraph" w:customStyle="1" w:styleId="cstitolosottocomunicatostampa">
    <w:name w:val="cs titolo sotto comunicato stampa"/>
    <w:basedOn w:val="titoloa"/>
    <w:uiPriority w:val="99"/>
    <w:rsid w:val="003A44C5"/>
    <w:pPr>
      <w:spacing w:after="360" w:line="300" w:lineRule="atLeast"/>
    </w:pPr>
    <w:rPr>
      <w:b/>
      <w:bCs/>
      <w:color w:val="000000"/>
      <w:sz w:val="24"/>
    </w:rPr>
  </w:style>
  <w:style w:type="paragraph" w:customStyle="1" w:styleId="cstitolocomunicatostampa">
    <w:name w:val="cs titolo comunicato stampa"/>
    <w:basedOn w:val="titoloa"/>
    <w:uiPriority w:val="99"/>
    <w:rsid w:val="00EC2810"/>
    <w:pPr>
      <w:spacing w:before="240" w:after="120"/>
      <w:jc w:val="center"/>
      <w:outlineLvl w:val="0"/>
    </w:pPr>
    <w:rPr>
      <w:b/>
      <w:color w:val="000000"/>
      <w:sz w:val="32"/>
    </w:rPr>
  </w:style>
  <w:style w:type="paragraph" w:customStyle="1" w:styleId="csufficiostampa">
    <w:name w:val="cs ufficio stampa"/>
    <w:basedOn w:val="Pidipagina"/>
    <w:uiPriority w:val="99"/>
    <w:rsid w:val="00EC2810"/>
    <w:rPr>
      <w:b/>
      <w:i/>
      <w:smallCaps w:val="0"/>
      <w:color w:val="C00000"/>
    </w:rPr>
  </w:style>
  <w:style w:type="paragraph" w:customStyle="1" w:styleId="csnumerocomunicatostampa">
    <w:name w:val="cs numero comunicato stampa"/>
    <w:basedOn w:val="cstitolocomunicatostampa"/>
    <w:uiPriority w:val="99"/>
    <w:rsid w:val="00E2507F"/>
    <w:pPr>
      <w:spacing w:before="0" w:after="360"/>
      <w:ind w:right="-284"/>
      <w:jc w:val="left"/>
    </w:pPr>
    <w:rPr>
      <w:bCs/>
      <w:color w:val="C00000"/>
      <w:sz w:val="24"/>
      <w:szCs w:val="20"/>
    </w:rPr>
  </w:style>
  <w:style w:type="paragraph" w:customStyle="1" w:styleId="tabetic">
    <w:name w:val="tab etic"/>
    <w:basedOn w:val="Normale"/>
    <w:qFormat/>
    <w:rsid w:val="00757740"/>
    <w:pPr>
      <w:keepLines/>
      <w:tabs>
        <w:tab w:val="left" w:pos="113"/>
        <w:tab w:val="left" w:pos="227"/>
      </w:tabs>
      <w:jc w:val="left"/>
    </w:pPr>
    <w:rPr>
      <w:sz w:val="16"/>
    </w:rPr>
  </w:style>
  <w:style w:type="paragraph" w:customStyle="1" w:styleId="csnormale">
    <w:name w:val="cs normale"/>
    <w:basedOn w:val="Normale"/>
    <w:uiPriority w:val="99"/>
    <w:rsid w:val="0039730B"/>
    <w:pPr>
      <w:spacing w:line="300" w:lineRule="atLeast"/>
    </w:pPr>
    <w:rPr>
      <w:sz w:val="22"/>
    </w:rPr>
  </w:style>
  <w:style w:type="paragraph" w:customStyle="1" w:styleId="cstitolosottozcomunicatostampa">
    <w:name w:val="cs titolo sotto z comunicato stampa"/>
    <w:basedOn w:val="cstitolosottocomunicatostampa"/>
    <w:uiPriority w:val="99"/>
    <w:rsid w:val="00A46509"/>
  </w:style>
  <w:style w:type="paragraph" w:customStyle="1" w:styleId="cstitolo">
    <w:name w:val="cs titolo"/>
    <w:basedOn w:val="titoloa"/>
    <w:uiPriority w:val="99"/>
    <w:rsid w:val="00672558"/>
    <w:pPr>
      <w:spacing w:before="240" w:after="120"/>
      <w:jc w:val="center"/>
      <w:outlineLvl w:val="0"/>
    </w:pPr>
    <w:rPr>
      <w:b/>
      <w:color w:val="000000"/>
      <w:sz w:val="32"/>
    </w:rPr>
  </w:style>
  <w:style w:type="paragraph" w:customStyle="1" w:styleId="cstitolosottoultimo">
    <w:name w:val="cs titolo sotto ultimo"/>
    <w:basedOn w:val="cstitolosottocomunicatostampa"/>
    <w:uiPriority w:val="99"/>
    <w:rsid w:val="003A44C5"/>
    <w:rPr>
      <w:bCs w:val="0"/>
    </w:rPr>
  </w:style>
  <w:style w:type="paragraph" w:customStyle="1" w:styleId="cstitolosottononultimo">
    <w:name w:val="cs titolo sotto non ultimo"/>
    <w:basedOn w:val="cstitolosottoultimo"/>
    <w:uiPriority w:val="99"/>
    <w:rsid w:val="00672558"/>
    <w:pPr>
      <w:spacing w:after="120"/>
    </w:pPr>
    <w:rPr>
      <w:szCs w:val="20"/>
    </w:rPr>
  </w:style>
  <w:style w:type="paragraph" w:customStyle="1" w:styleId="titolobcs">
    <w:name w:val="titolo b cs"/>
    <w:basedOn w:val="titolob"/>
    <w:uiPriority w:val="99"/>
    <w:rsid w:val="000970D8"/>
    <w:pPr>
      <w:spacing w:line="300" w:lineRule="atLeast"/>
    </w:pPr>
    <w:rPr>
      <w:b w:val="0"/>
      <w:color w:val="4F6228"/>
      <w:sz w:val="22"/>
    </w:rPr>
  </w:style>
  <w:style w:type="table" w:styleId="Grigliatabella">
    <w:name w:val="Table Grid"/>
    <w:basedOn w:val="Tabellanormale"/>
    <w:rsid w:val="00D246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sottotitolo">
    <w:name w:val="figure sotto titolo"/>
    <w:basedOn w:val="Normale"/>
    <w:qFormat/>
    <w:rsid w:val="00BB35D4"/>
    <w:pPr>
      <w:spacing w:before="60" w:after="60"/>
      <w:jc w:val="center"/>
    </w:pPr>
    <w:rPr>
      <w:color w:val="C00000"/>
      <w:sz w:val="16"/>
    </w:rPr>
  </w:style>
  <w:style w:type="paragraph" w:customStyle="1" w:styleId="titolosottoindaginepmicentrato">
    <w:name w:val="titolo sotto indagine pmi centrato"/>
    <w:basedOn w:val="titolosottoindaginepmi"/>
    <w:uiPriority w:val="99"/>
    <w:rsid w:val="0011594C"/>
    <w:pPr>
      <w:jc w:val="center"/>
    </w:pPr>
    <w:rPr>
      <w:bCs/>
      <w:szCs w:val="20"/>
    </w:rPr>
  </w:style>
  <w:style w:type="paragraph" w:customStyle="1" w:styleId="titolosottoedizione14pt">
    <w:name w:val="titolo sotto edizione 14 pt"/>
    <w:basedOn w:val="titolosottoedizione16pt"/>
    <w:uiPriority w:val="99"/>
    <w:rsid w:val="00763164"/>
    <w:rPr>
      <w:sz w:val="28"/>
    </w:rPr>
  </w:style>
  <w:style w:type="character" w:styleId="Enfasigrassetto">
    <w:name w:val="Strong"/>
    <w:basedOn w:val="Carpredefinitoparagrafo"/>
    <w:uiPriority w:val="99"/>
    <w:qFormat/>
    <w:locked/>
    <w:rsid w:val="00706678"/>
    <w:rPr>
      <w:rFonts w:cs="Times New Roman"/>
      <w:b/>
      <w:bCs/>
    </w:rPr>
  </w:style>
  <w:style w:type="character" w:styleId="Rimandonotaapidipagina">
    <w:name w:val="footnote reference"/>
    <w:basedOn w:val="Carpredefinitoparagrafo"/>
    <w:uiPriority w:val="99"/>
    <w:semiHidden/>
    <w:rsid w:val="00B96DB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653831113">
      <w:marLeft w:val="0"/>
      <w:marRight w:val="0"/>
      <w:marTop w:val="0"/>
      <w:marBottom w:val="0"/>
      <w:divBdr>
        <w:top w:val="none" w:sz="0" w:space="0" w:color="auto"/>
        <w:left w:val="none" w:sz="0" w:space="0" w:color="auto"/>
        <w:bottom w:val="none" w:sz="0" w:space="0" w:color="auto"/>
        <w:right w:val="none" w:sz="0" w:space="0" w:color="auto"/>
      </w:divBdr>
    </w:div>
    <w:div w:id="1653831114">
      <w:marLeft w:val="0"/>
      <w:marRight w:val="0"/>
      <w:marTop w:val="0"/>
      <w:marBottom w:val="0"/>
      <w:divBdr>
        <w:top w:val="none" w:sz="0" w:space="0" w:color="auto"/>
        <w:left w:val="none" w:sz="0" w:space="0" w:color="auto"/>
        <w:bottom w:val="none" w:sz="0" w:space="0" w:color="auto"/>
        <w:right w:val="none" w:sz="0" w:space="0" w:color="auto"/>
      </w:divBdr>
    </w:div>
    <w:div w:id="16538311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8.emf"/><Relationship Id="rId39" Type="http://schemas.openxmlformats.org/officeDocument/2006/relationships/chart" Target="charts/chart16.xml"/><Relationship Id="rId21" Type="http://schemas.openxmlformats.org/officeDocument/2006/relationships/image" Target="media/image3.emf"/><Relationship Id="rId34" Type="http://schemas.openxmlformats.org/officeDocument/2006/relationships/image" Target="media/image15.emf"/><Relationship Id="rId42" Type="http://schemas.openxmlformats.org/officeDocument/2006/relationships/chart" Target="charts/chart19.xml"/><Relationship Id="rId47" Type="http://schemas.openxmlformats.org/officeDocument/2006/relationships/chart" Target="charts/chart24.xm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7.emf"/><Relationship Id="rId33" Type="http://schemas.openxmlformats.org/officeDocument/2006/relationships/image" Target="media/image14.emf"/><Relationship Id="rId38" Type="http://schemas.openxmlformats.org/officeDocument/2006/relationships/chart" Target="charts/chart15.xml"/><Relationship Id="rId46" Type="http://schemas.openxmlformats.org/officeDocument/2006/relationships/chart" Target="charts/chart23.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2.emf"/><Relationship Id="rId29" Type="http://schemas.openxmlformats.org/officeDocument/2006/relationships/image" Target="media/image11.emf"/><Relationship Id="rId41" Type="http://schemas.openxmlformats.org/officeDocument/2006/relationships/chart" Target="charts/chart1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6.emf"/><Relationship Id="rId32" Type="http://schemas.openxmlformats.org/officeDocument/2006/relationships/image" Target="media/image13.emf"/><Relationship Id="rId37" Type="http://schemas.openxmlformats.org/officeDocument/2006/relationships/chart" Target="charts/chart14.xml"/><Relationship Id="rId40" Type="http://schemas.openxmlformats.org/officeDocument/2006/relationships/chart" Target="charts/chart17.xml"/><Relationship Id="rId45" Type="http://schemas.openxmlformats.org/officeDocument/2006/relationships/chart" Target="charts/chart22.xm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chart" Target="charts/chart13.xml"/><Relationship Id="rId49"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image" Target="media/image12.emf"/><Relationship Id="rId44" Type="http://schemas.openxmlformats.org/officeDocument/2006/relationships/chart" Target="charts/chart21.xm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chart" Target="charts/chart12.xml"/><Relationship Id="rId35" Type="http://schemas.openxmlformats.org/officeDocument/2006/relationships/image" Target="media/image16.emf"/><Relationship Id="rId43" Type="http://schemas.openxmlformats.org/officeDocument/2006/relationships/chart" Target="charts/chart20.xml"/><Relationship Id="rId48" Type="http://schemas.openxmlformats.org/officeDocument/2006/relationships/chart" Target="charts/chart25.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folder%20personali\mguaitoli.rer\z_sistema\m_modelli\studi_ricerche.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oglio_di_lavoro_di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Foglio_di_lavoro_di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Foglio_di_lavoro_di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oleObject" Target="file:///\\Vespucci\statistica\1_STUDI\2_SETTORI_ECONOMICI%20(Congiuntura)\C_IMPRESE%20E%20DISTRETTI_SLL%20-%20CONGIUNTURA\CONGIUNTURA\3&#176;%20TRIMESTRE%202014\2_Congiuntura_Serie%20Storiche.xls"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Foglio_di_lavoro_di_Microsoft_Office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Foglio_di_lavoro_di_Microsoft_Office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Foglio_di_lavoro_di_Microsoft_Office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Foglio_di_lavoro_di_Microsoft_Office_Excel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Foglio_di_lavoro_di_Microsoft_Office_Excel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Foglio_di_lavoro_di_Microsoft_Office_Excel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Foglio_di_lavoro_di_Microsoft_Office_Excel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glio_di_lavoro_di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Foglio_di_lavoro_di_Microsoft_Office_Excel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Foglio_di_lavoro_di_Microsoft_Office_Excel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Foglio_di_lavoro_di_Microsoft_Office_Excel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Foglio_di_lavoro_di_Microsoft_Office_Excel22.xlsx"/></Relationships>
</file>

<file path=word/charts/_rels/chart24.xml.rels><?xml version="1.0" encoding="UTF-8" standalone="yes"?>
<Relationships xmlns="http://schemas.openxmlformats.org/package/2006/relationships"><Relationship Id="rId1" Type="http://schemas.openxmlformats.org/officeDocument/2006/relationships/oleObject" Target="file:///\\Vespucci\statistica\1_STUDI\2_SETTORI_ECONOMICI%20(Congiuntura)\C_IMPRESE%20E%20DISTRETTI_SLL%20-%20CONGIUNTURA\CONGIUNTURA\3&#176;%20TRIMESTRE%202014\Aggiornamento%20dati\Aggiornamento%20dati%20imp-exp_3&#176;%20Trim.%20'14.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Vespucci\statistica\1_STUDI\2_SETTORI_ECONOMICI%20(Congiuntura)\C_IMPRESE%20E%20DISTRETTI_SLL%20-%20CONGIUNTURA\CONGIUNTURA\3&#176;%20TRIMESTRE%202014\Aggiornamento%20dati\Aggiornamento%20dati%20imp-exp_3&#176;%20Trim.%20'14.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Foglio_di_lavoro_di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oglio_di_lavoro_di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oglio_di_lavoro_di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Foglio_di_lavoro_di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oglio_di_lavoro_di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Foglio_di_lavoro_di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Foglio_di_lavoro_di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8E-2"/>
          <c:y val="1.5873015873015883E-2"/>
          <c:w val="0.97453703703703665"/>
          <c:h val="0.96428571428571463"/>
        </c:manualLayout>
      </c:layout>
      <c:barChart>
        <c:barDir val="bar"/>
        <c:grouping val="clustered"/>
        <c:ser>
          <c:idx val="0"/>
          <c:order val="0"/>
          <c:tx>
            <c:strRef>
              <c:f>Foglio1!$B$1</c:f>
              <c:strCache>
                <c:ptCount val="1"/>
                <c:pt idx="0">
                  <c:v>Colonna1</c:v>
                </c:pt>
              </c:strCache>
            </c:strRef>
          </c:tx>
          <c:spPr>
            <a:ln>
              <a:solidFill>
                <a:schemeClr val="tx1"/>
              </a:solidFill>
            </a:ln>
          </c:spPr>
          <c:dPt>
            <c:idx val="0"/>
            <c:spPr>
              <a:solidFill>
                <a:srgbClr val="FFCC99"/>
              </a:solidFill>
              <a:ln>
                <a:solidFill>
                  <a:schemeClr val="tx1"/>
                </a:solidFill>
              </a:ln>
            </c:spPr>
          </c:dPt>
          <c:dPt>
            <c:idx val="1"/>
            <c:spPr>
              <a:solidFill>
                <a:srgbClr val="99FF99"/>
              </a:solidFill>
              <a:ln>
                <a:solidFill>
                  <a:schemeClr val="tx1"/>
                </a:solidFill>
              </a:ln>
            </c:spPr>
          </c:dPt>
          <c:dPt>
            <c:idx val="2"/>
            <c:spPr>
              <a:solidFill>
                <a:srgbClr val="99CC00"/>
              </a:solidFill>
              <a:ln>
                <a:solidFill>
                  <a:schemeClr val="tx1"/>
                </a:solidFill>
              </a:ln>
            </c:spPr>
          </c:dPt>
          <c:dPt>
            <c:idx val="3"/>
            <c:spPr>
              <a:solidFill>
                <a:srgbClr val="FFFF99"/>
              </a:solidFill>
              <a:ln>
                <a:solidFill>
                  <a:schemeClr val="tx1"/>
                </a:solidFill>
              </a:ln>
            </c:spPr>
          </c:dPt>
          <c:dPt>
            <c:idx val="4"/>
            <c:spPr>
              <a:solidFill>
                <a:srgbClr val="B7DEE8"/>
              </a:solidFill>
              <a:ln>
                <a:solidFill>
                  <a:schemeClr val="tx1"/>
                </a:solidFill>
              </a:ln>
            </c:spPr>
          </c:dPt>
          <c:cat>
            <c:strRef>
              <c:f>Foglio1!$A$2:$A$6</c:f>
              <c:strCache>
                <c:ptCount val="5"/>
                <c:pt idx="0">
                  <c:v>Fatturato (1)</c:v>
                </c:pt>
                <c:pt idx="1">
                  <c:v>Fatturato estero (1)</c:v>
                </c:pt>
                <c:pt idx="2">
                  <c:v>Produzione (1)</c:v>
                </c:pt>
                <c:pt idx="3">
                  <c:v>Ordini (1)</c:v>
                </c:pt>
                <c:pt idx="4">
                  <c:v>Ordini esteri (1)</c:v>
                </c:pt>
              </c:strCache>
            </c:strRef>
          </c:cat>
          <c:val>
            <c:numRef>
              <c:f>Foglio1!$B$2:$B$6</c:f>
              <c:numCache>
                <c:formatCode>General</c:formatCode>
                <c:ptCount val="5"/>
              </c:numCache>
            </c:numRef>
          </c:val>
        </c:ser>
        <c:gapWidth val="75"/>
        <c:axId val="68789760"/>
        <c:axId val="68791296"/>
      </c:barChart>
      <c:catAx>
        <c:axId val="68789760"/>
        <c:scaling>
          <c:orientation val="maxMin"/>
        </c:scaling>
        <c:axPos val="l"/>
        <c:tickLblPos val="low"/>
        <c:spPr>
          <a:ln>
            <a:solidFill>
              <a:schemeClr val="bg1"/>
            </a:solidFill>
          </a:ln>
        </c:spPr>
        <c:crossAx val="68791296"/>
        <c:crosses val="autoZero"/>
        <c:auto val="1"/>
        <c:lblAlgn val="ctr"/>
        <c:lblOffset val="100"/>
      </c:catAx>
      <c:valAx>
        <c:axId val="68791296"/>
        <c:scaling>
          <c:orientation val="minMax"/>
        </c:scaling>
        <c:delete val="1"/>
        <c:axPos val="t"/>
        <c:numFmt formatCode="General" sourceLinked="1"/>
        <c:tickLblPos val="none"/>
        <c:crossAx val="68789760"/>
        <c:crosses val="autoZero"/>
        <c:crossBetween val="between"/>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73E-2"/>
          <c:y val="1.5873015873015879E-2"/>
          <c:w val="0.97453703703703709"/>
          <c:h val="0.96428571428571463"/>
        </c:manualLayout>
      </c:layout>
      <c:barChart>
        <c:barDir val="bar"/>
        <c:grouping val="clustered"/>
        <c:ser>
          <c:idx val="0"/>
          <c:order val="0"/>
          <c:tx>
            <c:strRef>
              <c:f>Foglio1!$B$1</c:f>
              <c:strCache>
                <c:ptCount val="1"/>
                <c:pt idx="0">
                  <c:v>Rimini</c:v>
                </c:pt>
              </c:strCache>
            </c:strRef>
          </c:tx>
          <c:spPr>
            <a:solidFill>
              <a:srgbClr val="FFCC99"/>
            </a:solidFill>
            <a:ln>
              <a:solidFill>
                <a:schemeClr val="tx1"/>
              </a:solidFill>
            </a:ln>
          </c:spPr>
          <c:dLbls>
            <c:dLbl>
              <c:idx val="0"/>
              <c:layout>
                <c:manualLayout>
                  <c:x val="-6.4141414141416922E-3"/>
                  <c:y val="4.9768595624282423E-2"/>
                </c:manualLayout>
              </c:layout>
              <c:showVal val="1"/>
            </c:dLbl>
            <c:showVal val="1"/>
          </c:dLbls>
          <c:cat>
            <c:strRef>
              <c:f>Foglio1!$A$2</c:f>
              <c:strCache>
                <c:ptCount val="1"/>
                <c:pt idx="0">
                  <c:v>Vendite (1) - var. t-t(a-1)</c:v>
                </c:pt>
              </c:strCache>
            </c:strRef>
          </c:cat>
          <c:val>
            <c:numRef>
              <c:f>Foglio1!$B$2</c:f>
              <c:numCache>
                <c:formatCode>0.0;[Red]\-0.0</c:formatCode>
                <c:ptCount val="1"/>
                <c:pt idx="0">
                  <c:v>-4.5649999999999933</c:v>
                </c:pt>
              </c:numCache>
            </c:numRef>
          </c:val>
        </c:ser>
        <c:gapWidth val="75"/>
        <c:axId val="70251648"/>
        <c:axId val="70253184"/>
      </c:barChart>
      <c:catAx>
        <c:axId val="70251648"/>
        <c:scaling>
          <c:orientation val="maxMin"/>
        </c:scaling>
        <c:axPos val="l"/>
        <c:majorTickMark val="none"/>
        <c:tickLblPos val="none"/>
        <c:crossAx val="70253184"/>
        <c:crosses val="autoZero"/>
        <c:auto val="1"/>
        <c:lblAlgn val="ctr"/>
        <c:lblOffset val="100"/>
      </c:catAx>
      <c:valAx>
        <c:axId val="70253184"/>
        <c:scaling>
          <c:orientation val="minMax"/>
          <c:max val="12"/>
          <c:min val="-12"/>
        </c:scaling>
        <c:axPos val="t"/>
        <c:numFmt formatCode="0.0;[Red]\-0.0" sourceLinked="1"/>
        <c:tickLblPos val="none"/>
        <c:spPr>
          <a:ln>
            <a:solidFill>
              <a:schemeClr val="bg1"/>
            </a:solidFill>
          </a:ln>
        </c:spPr>
        <c:crossAx val="70251648"/>
        <c:crosses val="autoZero"/>
        <c:crossBetween val="between"/>
        <c:majorUnit val="1"/>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73E-2"/>
          <c:y val="1.5873015873015879E-2"/>
          <c:w val="0.97453703703703709"/>
          <c:h val="0.96428571428571463"/>
        </c:manualLayout>
      </c:layout>
      <c:barChart>
        <c:barDir val="bar"/>
        <c:grouping val="clustered"/>
        <c:ser>
          <c:idx val="0"/>
          <c:order val="0"/>
          <c:tx>
            <c:strRef>
              <c:f>Foglio1!$B$1</c:f>
              <c:strCache>
                <c:ptCount val="1"/>
                <c:pt idx="0">
                  <c:v>Emilia-Romagna</c:v>
                </c:pt>
              </c:strCache>
            </c:strRef>
          </c:tx>
          <c:spPr>
            <a:solidFill>
              <a:srgbClr val="FFCC99"/>
            </a:solidFill>
            <a:ln>
              <a:solidFill>
                <a:schemeClr val="tx1"/>
              </a:solidFill>
            </a:ln>
          </c:spPr>
          <c:dLbls>
            <c:dLbl>
              <c:idx val="0"/>
              <c:layout>
                <c:manualLayout>
                  <c:x val="-6.4141414141416749E-3"/>
                  <c:y val="4.9768595624282423E-2"/>
                </c:manualLayout>
              </c:layout>
              <c:showVal val="1"/>
            </c:dLbl>
            <c:showVal val="1"/>
          </c:dLbls>
          <c:cat>
            <c:strRef>
              <c:f>Foglio1!$A$2</c:f>
              <c:strCache>
                <c:ptCount val="1"/>
                <c:pt idx="0">
                  <c:v>Vendite (1) - var. t-t(a-1)</c:v>
                </c:pt>
              </c:strCache>
            </c:strRef>
          </c:cat>
          <c:val>
            <c:numRef>
              <c:f>Foglio1!$B$2</c:f>
              <c:numCache>
                <c:formatCode>0.0;[Red]\-0.0</c:formatCode>
                <c:ptCount val="1"/>
                <c:pt idx="0">
                  <c:v>-3.7600000000000002</c:v>
                </c:pt>
              </c:numCache>
            </c:numRef>
          </c:val>
        </c:ser>
        <c:gapWidth val="75"/>
        <c:axId val="70408064"/>
        <c:axId val="70409600"/>
      </c:barChart>
      <c:catAx>
        <c:axId val="70408064"/>
        <c:scaling>
          <c:orientation val="maxMin"/>
        </c:scaling>
        <c:axPos val="l"/>
        <c:majorTickMark val="none"/>
        <c:tickLblPos val="none"/>
        <c:crossAx val="70409600"/>
        <c:crosses val="autoZero"/>
        <c:auto val="1"/>
        <c:lblAlgn val="ctr"/>
        <c:lblOffset val="100"/>
      </c:catAx>
      <c:valAx>
        <c:axId val="70409600"/>
        <c:scaling>
          <c:orientation val="minMax"/>
          <c:max val="12"/>
          <c:min val="-12"/>
        </c:scaling>
        <c:axPos val="t"/>
        <c:numFmt formatCode="0.0;[Red]\-0.0" sourceLinked="1"/>
        <c:tickLblPos val="none"/>
        <c:spPr>
          <a:ln>
            <a:solidFill>
              <a:schemeClr val="bg1"/>
            </a:solidFill>
          </a:ln>
        </c:spPr>
        <c:crossAx val="70408064"/>
        <c:crosses val="autoZero"/>
        <c:crossBetween val="between"/>
        <c:majorUnit val="1"/>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it-IT"/>
  <c:chart>
    <c:title>
      <c:tx>
        <c:rich>
          <a:bodyPr anchor="ctr" anchorCtr="1"/>
          <a:lstStyle/>
          <a:p>
            <a:pPr>
              <a:defRPr sz="1000" b="1" i="0" u="none" strike="noStrike" baseline="0">
                <a:solidFill>
                  <a:srgbClr val="000000"/>
                </a:solidFill>
                <a:latin typeface="Arial"/>
                <a:ea typeface="Arial"/>
                <a:cs typeface="Arial"/>
              </a:defRPr>
            </a:pPr>
            <a:r>
              <a:rPr lang="it-IT" sz="1000"/>
              <a:t>INDUSTRIA</a:t>
            </a:r>
            <a:r>
              <a:rPr lang="it-IT" sz="1000" baseline="0"/>
              <a:t> </a:t>
            </a:r>
            <a:r>
              <a:rPr lang="it-IT" sz="1000"/>
              <a:t>MANIFATTURIERA - Medie annue Var. % trimestrali</a:t>
            </a:r>
          </a:p>
        </c:rich>
      </c:tx>
      <c:layout>
        <c:manualLayout>
          <c:xMode val="edge"/>
          <c:yMode val="edge"/>
          <c:x val="0.1824279513888889"/>
          <c:y val="1.9531389331814981E-2"/>
        </c:manualLayout>
      </c:layout>
      <c:spPr>
        <a:noFill/>
        <a:ln w="25400">
          <a:noFill/>
        </a:ln>
      </c:spPr>
    </c:title>
    <c:view3D>
      <c:hPercent val="43"/>
      <c:depthPercent val="100"/>
      <c:rAngAx val="1"/>
    </c:view3D>
    <c:floor>
      <c:spPr>
        <a:no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8.4188911704312114E-2"/>
          <c:y val="0.11197916666666663"/>
          <c:w val="0.90349166562225847"/>
          <c:h val="0.68359505385409192"/>
        </c:manualLayout>
      </c:layout>
      <c:bar3DChart>
        <c:barDir val="col"/>
        <c:grouping val="clustered"/>
        <c:ser>
          <c:idx val="0"/>
          <c:order val="0"/>
          <c:tx>
            <c:strRef>
              <c:f>Manifatturiero!$I$1</c:f>
              <c:strCache>
                <c:ptCount val="1"/>
                <c:pt idx="0">
                  <c:v>PRODUZIONE</c:v>
                </c:pt>
              </c:strCache>
            </c:strRef>
          </c:tx>
          <c:spPr>
            <a:solidFill>
              <a:srgbClr val="9999FF"/>
            </a:solidFill>
            <a:ln w="12700">
              <a:solidFill>
                <a:srgbClr val="000000"/>
              </a:solidFill>
              <a:prstDash val="solid"/>
            </a:ln>
          </c:spPr>
          <c:dLbls>
            <c:dLbl>
              <c:idx val="0"/>
              <c:delete val="1"/>
            </c:dLbl>
            <c:dLbl>
              <c:idx val="1"/>
              <c:delete val="1"/>
            </c:dLbl>
            <c:dLbl>
              <c:idx val="2"/>
              <c:delete val="1"/>
            </c:dLbl>
            <c:dLbl>
              <c:idx val="3"/>
              <c:layout>
                <c:manualLayout>
                  <c:x val="7.4376842525074507E-3"/>
                  <c:y val="-1.87450787401575E-2"/>
                </c:manualLayout>
              </c:layout>
              <c:showVal val="1"/>
            </c:dLbl>
            <c:dLbl>
              <c:idx val="4"/>
              <c:delete val="1"/>
            </c:dLbl>
            <c:dLbl>
              <c:idx val="5"/>
              <c:layout>
                <c:manualLayout>
                  <c:x val="-1.0106334244153782E-3"/>
                  <c:y val="-1.7882627952755907E-2"/>
                </c:manualLayout>
              </c:layout>
              <c:showVal val="1"/>
            </c:dLbl>
            <c:spPr>
              <a:noFill/>
              <a:ln w="25400">
                <a:noFill/>
              </a:ln>
            </c:spPr>
            <c:txPr>
              <a:bodyPr/>
              <a:lstStyle/>
              <a:p>
                <a:pPr>
                  <a:defRPr sz="900" b="0" i="0" u="none" strike="noStrike" baseline="0">
                    <a:solidFill>
                      <a:srgbClr val="000000"/>
                    </a:solidFill>
                    <a:latin typeface="Arial"/>
                    <a:ea typeface="Arial"/>
                    <a:cs typeface="Arial"/>
                  </a:defRPr>
                </a:pPr>
                <a:endParaRPr lang="it-IT"/>
              </a:p>
            </c:txPr>
            <c:showVal val="1"/>
          </c:dLbls>
          <c:cat>
            <c:numRef>
              <c:f>Manifatturiero!$H$2:$H$7</c:f>
              <c:numCache>
                <c:formatCode>General</c:formatCode>
                <c:ptCount val="6"/>
                <c:pt idx="0">
                  <c:v>2008</c:v>
                </c:pt>
                <c:pt idx="1">
                  <c:v>2009</c:v>
                </c:pt>
                <c:pt idx="2">
                  <c:v>2010</c:v>
                </c:pt>
                <c:pt idx="3">
                  <c:v>2011</c:v>
                </c:pt>
                <c:pt idx="4">
                  <c:v>2012</c:v>
                </c:pt>
                <c:pt idx="5">
                  <c:v>2013</c:v>
                </c:pt>
              </c:numCache>
            </c:numRef>
          </c:cat>
          <c:val>
            <c:numRef>
              <c:f>Manifatturiero!$I$2:$I$7</c:f>
              <c:numCache>
                <c:formatCode>0.0_ ;[Red]\-0.0\ </c:formatCode>
                <c:ptCount val="6"/>
                <c:pt idx="0">
                  <c:v>-1.3142499999999999</c:v>
                </c:pt>
                <c:pt idx="1">
                  <c:v>-13.47325</c:v>
                </c:pt>
                <c:pt idx="2">
                  <c:v>1.6375</c:v>
                </c:pt>
                <c:pt idx="3">
                  <c:v>-0.19425000000000001</c:v>
                </c:pt>
                <c:pt idx="4">
                  <c:v>-4.5345000000000004</c:v>
                </c:pt>
                <c:pt idx="5">
                  <c:v>-2.3932500000000001</c:v>
                </c:pt>
              </c:numCache>
            </c:numRef>
          </c:val>
        </c:ser>
        <c:ser>
          <c:idx val="1"/>
          <c:order val="1"/>
          <c:tx>
            <c:strRef>
              <c:f>Manifatturiero!$J$1</c:f>
              <c:strCache>
                <c:ptCount val="1"/>
                <c:pt idx="0">
                  <c:v>FATTURATO</c:v>
                </c:pt>
              </c:strCache>
            </c:strRef>
          </c:tx>
          <c:spPr>
            <a:solidFill>
              <a:srgbClr val="993366"/>
            </a:solidFill>
            <a:ln w="12700">
              <a:solidFill>
                <a:srgbClr val="000000"/>
              </a:solidFill>
              <a:prstDash val="solid"/>
            </a:ln>
          </c:spPr>
          <c:dLbls>
            <c:dLbl>
              <c:idx val="0"/>
              <c:delete val="1"/>
            </c:dLbl>
            <c:dLbl>
              <c:idx val="1"/>
              <c:delete val="1"/>
            </c:dLbl>
            <c:dLbl>
              <c:idx val="2"/>
              <c:delete val="1"/>
            </c:dLbl>
            <c:dLbl>
              <c:idx val="3"/>
              <c:delete val="1"/>
            </c:dLbl>
            <c:dLbl>
              <c:idx val="4"/>
              <c:layout>
                <c:manualLayout>
                  <c:x val="5.8807741434784714E-3"/>
                  <c:y val="8.1861056430446253E-3"/>
                </c:manualLayout>
              </c:layout>
              <c:showVal val="1"/>
            </c:dLbl>
            <c:dLbl>
              <c:idx val="5"/>
              <c:delete val="1"/>
            </c:dLbl>
            <c:spPr>
              <a:noFill/>
              <a:ln w="25400">
                <a:noFill/>
              </a:ln>
            </c:spPr>
            <c:txPr>
              <a:bodyPr/>
              <a:lstStyle/>
              <a:p>
                <a:pPr>
                  <a:defRPr sz="900" b="0" i="0" u="none" strike="noStrike" baseline="0">
                    <a:solidFill>
                      <a:srgbClr val="000000"/>
                    </a:solidFill>
                    <a:latin typeface="Arial"/>
                    <a:ea typeface="Arial"/>
                    <a:cs typeface="Arial"/>
                  </a:defRPr>
                </a:pPr>
                <a:endParaRPr lang="it-IT"/>
              </a:p>
            </c:txPr>
            <c:showVal val="1"/>
          </c:dLbls>
          <c:cat>
            <c:numRef>
              <c:f>Manifatturiero!$H$2:$H$7</c:f>
              <c:numCache>
                <c:formatCode>General</c:formatCode>
                <c:ptCount val="6"/>
                <c:pt idx="0">
                  <c:v>2008</c:v>
                </c:pt>
                <c:pt idx="1">
                  <c:v>2009</c:v>
                </c:pt>
                <c:pt idx="2">
                  <c:v>2010</c:v>
                </c:pt>
                <c:pt idx="3">
                  <c:v>2011</c:v>
                </c:pt>
                <c:pt idx="4">
                  <c:v>2012</c:v>
                </c:pt>
                <c:pt idx="5">
                  <c:v>2013</c:v>
                </c:pt>
              </c:numCache>
            </c:numRef>
          </c:cat>
          <c:val>
            <c:numRef>
              <c:f>Manifatturiero!$J$2:$J$7</c:f>
              <c:numCache>
                <c:formatCode>0.0_ ;[Red]\-0.0\ </c:formatCode>
                <c:ptCount val="6"/>
                <c:pt idx="0">
                  <c:v>-0.80700000000000005</c:v>
                </c:pt>
                <c:pt idx="1">
                  <c:v>-13.36125</c:v>
                </c:pt>
                <c:pt idx="2">
                  <c:v>2.1542499999999998</c:v>
                </c:pt>
                <c:pt idx="3">
                  <c:v>0.10025000000000003</c:v>
                </c:pt>
                <c:pt idx="4">
                  <c:v>-5.4675000000000002</c:v>
                </c:pt>
                <c:pt idx="5">
                  <c:v>-2.3322500000000002</c:v>
                </c:pt>
              </c:numCache>
            </c:numRef>
          </c:val>
        </c:ser>
        <c:ser>
          <c:idx val="2"/>
          <c:order val="2"/>
          <c:tx>
            <c:strRef>
              <c:f>Manifatturiero!$K$1</c:f>
              <c:strCache>
                <c:ptCount val="1"/>
                <c:pt idx="0">
                  <c:v>FATTURATO ESTERO</c:v>
                </c:pt>
              </c:strCache>
            </c:strRef>
          </c:tx>
          <c:spPr>
            <a:solidFill>
              <a:srgbClr val="FFFFCC"/>
            </a:solidFill>
            <a:ln w="12700">
              <a:solidFill>
                <a:srgbClr val="000000"/>
              </a:solidFill>
              <a:prstDash val="solid"/>
            </a:ln>
          </c:spPr>
          <c:dLbls>
            <c:dLbl>
              <c:idx val="0"/>
              <c:layout>
                <c:manualLayout>
                  <c:x val="5.3697916666666668E-3"/>
                  <c:y val="-2.2992267765446304E-2"/>
                </c:manualLayout>
              </c:layout>
              <c:showVal val="1"/>
            </c:dLbl>
            <c:dLbl>
              <c:idx val="1"/>
              <c:delete val="1"/>
            </c:dLbl>
            <c:dLbl>
              <c:idx val="2"/>
              <c:delete val="1"/>
            </c:dLbl>
            <c:dLbl>
              <c:idx val="3"/>
              <c:layout>
                <c:manualLayout>
                  <c:x val="9.1240931234690213E-3"/>
                  <c:y val="-1.0634723310168121E-2"/>
                </c:manualLayout>
              </c:layout>
              <c:showVal val="1"/>
            </c:dLbl>
            <c:dLbl>
              <c:idx val="4"/>
              <c:layout>
                <c:manualLayout>
                  <c:x val="1.0756944444444526E-2"/>
                  <c:y val="-4.7437054220759063E-2"/>
                </c:manualLayout>
              </c:layout>
              <c:showVal val="1"/>
            </c:dLbl>
            <c:dLbl>
              <c:idx val="5"/>
              <c:delete val="1"/>
            </c:dLbl>
            <c:spPr>
              <a:noFill/>
              <a:ln w="25400">
                <a:noFill/>
              </a:ln>
            </c:spPr>
            <c:txPr>
              <a:bodyPr/>
              <a:lstStyle/>
              <a:p>
                <a:pPr>
                  <a:defRPr sz="900" b="0" i="0" u="none" strike="noStrike" baseline="0">
                    <a:solidFill>
                      <a:srgbClr val="000000"/>
                    </a:solidFill>
                    <a:latin typeface="Arial"/>
                    <a:ea typeface="Arial"/>
                    <a:cs typeface="Arial"/>
                  </a:defRPr>
                </a:pPr>
                <a:endParaRPr lang="it-IT"/>
              </a:p>
            </c:txPr>
            <c:showVal val="1"/>
          </c:dLbls>
          <c:cat>
            <c:numRef>
              <c:f>Manifatturiero!$H$2:$H$7</c:f>
              <c:numCache>
                <c:formatCode>General</c:formatCode>
                <c:ptCount val="6"/>
                <c:pt idx="0">
                  <c:v>2008</c:v>
                </c:pt>
                <c:pt idx="1">
                  <c:v>2009</c:v>
                </c:pt>
                <c:pt idx="2">
                  <c:v>2010</c:v>
                </c:pt>
                <c:pt idx="3">
                  <c:v>2011</c:v>
                </c:pt>
                <c:pt idx="4">
                  <c:v>2012</c:v>
                </c:pt>
                <c:pt idx="5">
                  <c:v>2013</c:v>
                </c:pt>
              </c:numCache>
            </c:numRef>
          </c:cat>
          <c:val>
            <c:numRef>
              <c:f>Manifatturiero!$K$2:$K$7</c:f>
              <c:numCache>
                <c:formatCode>0.0_ ;[Red]\-0.0\ </c:formatCode>
                <c:ptCount val="6"/>
                <c:pt idx="0">
                  <c:v>1.1919999999999999</c:v>
                </c:pt>
                <c:pt idx="1">
                  <c:v>-7.3989999999999991</c:v>
                </c:pt>
                <c:pt idx="2">
                  <c:v>2.5197499999999997</c:v>
                </c:pt>
                <c:pt idx="3">
                  <c:v>2.41425</c:v>
                </c:pt>
                <c:pt idx="4">
                  <c:v>0.69574999999999998</c:v>
                </c:pt>
                <c:pt idx="5">
                  <c:v>1.1094999999999997</c:v>
                </c:pt>
              </c:numCache>
            </c:numRef>
          </c:val>
        </c:ser>
        <c:ser>
          <c:idx val="3"/>
          <c:order val="3"/>
          <c:tx>
            <c:strRef>
              <c:f>Manifatturiero!$L$1</c:f>
              <c:strCache>
                <c:ptCount val="1"/>
                <c:pt idx="0">
                  <c:v>ORDINI</c:v>
                </c:pt>
              </c:strCache>
            </c:strRef>
          </c:tx>
          <c:spPr>
            <a:solidFill>
              <a:srgbClr val="CCFFFF"/>
            </a:solidFill>
            <a:ln w="12700">
              <a:solidFill>
                <a:srgbClr val="000000"/>
              </a:solidFill>
              <a:prstDash val="solid"/>
            </a:ln>
          </c:spPr>
          <c:dLbls>
            <c:dLbl>
              <c:idx val="0"/>
              <c:layout>
                <c:manualLayout>
                  <c:x val="-4.7420869105940814E-3"/>
                  <c:y val="1.5716453412073495E-2"/>
                </c:manualLayout>
              </c:layout>
              <c:showVal val="1"/>
            </c:dLbl>
            <c:dLbl>
              <c:idx val="1"/>
              <c:layout>
                <c:manualLayout>
                  <c:x val="9.4458007944078909E-3"/>
                  <c:y val="1.4507053805774278E-2"/>
                </c:manualLayout>
              </c:layout>
              <c:showVal val="1"/>
            </c:dLbl>
            <c:dLbl>
              <c:idx val="2"/>
              <c:layout>
                <c:manualLayout>
                  <c:x val="2.0122178050024798E-2"/>
                  <c:y val="-7.5023786733783727E-3"/>
                </c:manualLayout>
              </c:layout>
              <c:showVal val="1"/>
            </c:dLbl>
            <c:dLbl>
              <c:idx val="3"/>
              <c:delete val="1"/>
            </c:dLbl>
            <c:dLbl>
              <c:idx val="4"/>
              <c:delete val="1"/>
            </c:dLbl>
            <c:dLbl>
              <c:idx val="5"/>
              <c:delete val="1"/>
            </c:dLbl>
            <c:spPr>
              <a:noFill/>
              <a:ln w="25400">
                <a:noFill/>
              </a:ln>
            </c:spPr>
            <c:txPr>
              <a:bodyPr/>
              <a:lstStyle/>
              <a:p>
                <a:pPr>
                  <a:defRPr sz="900" b="0" i="0" u="none" strike="noStrike" baseline="0">
                    <a:solidFill>
                      <a:srgbClr val="000000"/>
                    </a:solidFill>
                    <a:latin typeface="Arial"/>
                    <a:ea typeface="Arial"/>
                    <a:cs typeface="Arial"/>
                  </a:defRPr>
                </a:pPr>
                <a:endParaRPr lang="it-IT"/>
              </a:p>
            </c:txPr>
            <c:showVal val="1"/>
          </c:dLbls>
          <c:cat>
            <c:numRef>
              <c:f>Manifatturiero!$H$2:$H$7</c:f>
              <c:numCache>
                <c:formatCode>General</c:formatCode>
                <c:ptCount val="6"/>
                <c:pt idx="0">
                  <c:v>2008</c:v>
                </c:pt>
                <c:pt idx="1">
                  <c:v>2009</c:v>
                </c:pt>
                <c:pt idx="2">
                  <c:v>2010</c:v>
                </c:pt>
                <c:pt idx="3">
                  <c:v>2011</c:v>
                </c:pt>
                <c:pt idx="4">
                  <c:v>2012</c:v>
                </c:pt>
                <c:pt idx="5">
                  <c:v>2013</c:v>
                </c:pt>
              </c:numCache>
            </c:numRef>
          </c:cat>
          <c:val>
            <c:numRef>
              <c:f>Manifatturiero!$L$2:$L$7</c:f>
              <c:numCache>
                <c:formatCode>0.0_ ;[Red]\-0.0\ </c:formatCode>
                <c:ptCount val="6"/>
                <c:pt idx="0">
                  <c:v>-1.8525</c:v>
                </c:pt>
                <c:pt idx="1">
                  <c:v>-13.57525</c:v>
                </c:pt>
                <c:pt idx="2">
                  <c:v>3.1274999999999999</c:v>
                </c:pt>
                <c:pt idx="3">
                  <c:v>0.27524999999999988</c:v>
                </c:pt>
                <c:pt idx="4">
                  <c:v>-4.5947500000000003</c:v>
                </c:pt>
                <c:pt idx="5">
                  <c:v>-2.2715000000000001</c:v>
                </c:pt>
              </c:numCache>
            </c:numRef>
          </c:val>
        </c:ser>
        <c:ser>
          <c:idx val="4"/>
          <c:order val="4"/>
          <c:tx>
            <c:strRef>
              <c:f>Manifatturiero!$M$1</c:f>
              <c:strCache>
                <c:ptCount val="1"/>
                <c:pt idx="0">
                  <c:v>ORDINI ESTERI</c:v>
                </c:pt>
              </c:strCache>
            </c:strRef>
          </c:tx>
          <c:spPr>
            <a:solidFill>
              <a:srgbClr val="660066"/>
            </a:solidFill>
            <a:ln w="12700">
              <a:solidFill>
                <a:srgbClr val="000000"/>
              </a:solidFill>
              <a:prstDash val="solid"/>
            </a:ln>
          </c:spPr>
          <c:dLbls>
            <c:dLbl>
              <c:idx val="0"/>
              <c:delete val="1"/>
            </c:dLbl>
            <c:dLbl>
              <c:idx val="1"/>
              <c:layout>
                <c:manualLayout>
                  <c:x val="8.5331869148262997E-3"/>
                  <c:y val="2.4453210520704097E-2"/>
                </c:manualLayout>
              </c:layout>
              <c:showVal val="1"/>
            </c:dLbl>
            <c:dLbl>
              <c:idx val="2"/>
              <c:layout>
                <c:manualLayout>
                  <c:x val="1.8682561338489903E-2"/>
                  <c:y val="2.8359467971298877E-2"/>
                </c:manualLayout>
              </c:layout>
              <c:showVal val="1"/>
            </c:dLbl>
            <c:dLbl>
              <c:idx val="3"/>
              <c:delete val="1"/>
            </c:dLbl>
            <c:dLbl>
              <c:idx val="4"/>
              <c:delete val="1"/>
            </c:dLbl>
            <c:dLbl>
              <c:idx val="5"/>
              <c:layout>
                <c:manualLayout>
                  <c:x val="1.8330047951160024E-2"/>
                  <c:y val="-8.9052733275352854E-3"/>
                </c:manualLayout>
              </c:layout>
              <c:showVal val="1"/>
            </c:dLbl>
            <c:spPr>
              <a:noFill/>
              <a:ln w="25400">
                <a:noFill/>
              </a:ln>
            </c:spPr>
            <c:txPr>
              <a:bodyPr/>
              <a:lstStyle/>
              <a:p>
                <a:pPr>
                  <a:defRPr sz="900" b="0" i="0" u="none" strike="noStrike" baseline="0">
                    <a:solidFill>
                      <a:srgbClr val="000000"/>
                    </a:solidFill>
                    <a:latin typeface="Arial"/>
                    <a:ea typeface="Arial"/>
                    <a:cs typeface="Arial"/>
                  </a:defRPr>
                </a:pPr>
                <a:endParaRPr lang="it-IT"/>
              </a:p>
            </c:txPr>
            <c:showVal val="1"/>
          </c:dLbls>
          <c:cat>
            <c:numRef>
              <c:f>Manifatturiero!$H$2:$H$7</c:f>
              <c:numCache>
                <c:formatCode>General</c:formatCode>
                <c:ptCount val="6"/>
                <c:pt idx="0">
                  <c:v>2008</c:v>
                </c:pt>
                <c:pt idx="1">
                  <c:v>2009</c:v>
                </c:pt>
                <c:pt idx="2">
                  <c:v>2010</c:v>
                </c:pt>
                <c:pt idx="3">
                  <c:v>2011</c:v>
                </c:pt>
                <c:pt idx="4">
                  <c:v>2012</c:v>
                </c:pt>
                <c:pt idx="5">
                  <c:v>2013</c:v>
                </c:pt>
              </c:numCache>
            </c:numRef>
          </c:cat>
          <c:val>
            <c:numRef>
              <c:f>Manifatturiero!$M$2:$M$7</c:f>
              <c:numCache>
                <c:formatCode>0.0_ ;[Red]\-0.0\ </c:formatCode>
                <c:ptCount val="6"/>
                <c:pt idx="0">
                  <c:v>0</c:v>
                </c:pt>
                <c:pt idx="1">
                  <c:v>0</c:v>
                </c:pt>
                <c:pt idx="2">
                  <c:v>0</c:v>
                </c:pt>
                <c:pt idx="3">
                  <c:v>0.98949999999999994</c:v>
                </c:pt>
                <c:pt idx="4">
                  <c:v>0.62974999999999992</c:v>
                </c:pt>
                <c:pt idx="5">
                  <c:v>1.8540000000000001</c:v>
                </c:pt>
              </c:numCache>
            </c:numRef>
          </c:val>
        </c:ser>
        <c:shape val="box"/>
        <c:axId val="66361216"/>
        <c:axId val="66362752"/>
        <c:axId val="0"/>
      </c:bar3DChart>
      <c:catAx>
        <c:axId val="66361216"/>
        <c:scaling>
          <c:orientation val="minMax"/>
        </c:scaling>
        <c:axPos val="b"/>
        <c:numFmt formatCode="General" sourceLinked="1"/>
        <c:tickLblPos val="low"/>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it-IT"/>
          </a:p>
        </c:txPr>
        <c:crossAx val="66362752"/>
        <c:crosses val="autoZero"/>
        <c:auto val="1"/>
        <c:lblAlgn val="ctr"/>
        <c:lblOffset val="100"/>
        <c:tickLblSkip val="1"/>
        <c:tickMarkSkip val="1"/>
      </c:catAx>
      <c:valAx>
        <c:axId val="66362752"/>
        <c:scaling>
          <c:orientation val="minMax"/>
          <c:max val="4"/>
          <c:min val="-16"/>
        </c:scaling>
        <c:axPos val="l"/>
        <c:majorGridlines>
          <c:spPr>
            <a:ln w="3175">
              <a:solidFill>
                <a:srgbClr val="000000"/>
              </a:solidFill>
              <a:prstDash val="solid"/>
            </a:ln>
          </c:spPr>
        </c:majorGridlines>
        <c:numFmt formatCode="0.0_ ;[Red]\-0.0\ " sourceLinked="1"/>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it-IT"/>
          </a:p>
        </c:txPr>
        <c:crossAx val="66361216"/>
        <c:crosses val="autoZero"/>
        <c:crossBetween val="between"/>
        <c:majorUnit val="2"/>
      </c:valAx>
      <c:spPr>
        <a:noFill/>
        <a:ln w="25400">
          <a:noFill/>
        </a:ln>
      </c:spPr>
    </c:plotArea>
    <c:legend>
      <c:legendPos val="b"/>
      <c:layou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it-IT"/>
        </a:p>
      </c:txPr>
    </c:legend>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it-IT"/>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75E-2"/>
          <c:y val="1.5873015873015883E-2"/>
          <c:w val="0.97453703703703698"/>
          <c:h val="0.96428571428571463"/>
        </c:manualLayout>
      </c:layout>
      <c:barChart>
        <c:barDir val="bar"/>
        <c:grouping val="clustered"/>
        <c:ser>
          <c:idx val="0"/>
          <c:order val="0"/>
          <c:tx>
            <c:strRef>
              <c:f>Foglio1!$B$1</c:f>
              <c:strCache>
                <c:ptCount val="1"/>
                <c:pt idx="0">
                  <c:v>Colonna1</c:v>
                </c:pt>
              </c:strCache>
            </c:strRef>
          </c:tx>
          <c:spPr>
            <a:ln>
              <a:solidFill>
                <a:schemeClr val="tx1"/>
              </a:solidFill>
            </a:ln>
          </c:spPr>
          <c:dPt>
            <c:idx val="0"/>
            <c:spPr>
              <a:solidFill>
                <a:srgbClr val="FFCC99"/>
              </a:solidFill>
              <a:ln>
                <a:solidFill>
                  <a:schemeClr val="tx1"/>
                </a:solidFill>
              </a:ln>
            </c:spPr>
          </c:dPt>
          <c:dPt>
            <c:idx val="1"/>
            <c:spPr>
              <a:solidFill>
                <a:srgbClr val="99FF99"/>
              </a:solidFill>
              <a:ln>
                <a:solidFill>
                  <a:schemeClr val="tx1"/>
                </a:solidFill>
              </a:ln>
            </c:spPr>
          </c:dPt>
          <c:dPt>
            <c:idx val="2"/>
            <c:spPr>
              <a:solidFill>
                <a:srgbClr val="99CC00"/>
              </a:solidFill>
              <a:ln>
                <a:solidFill>
                  <a:schemeClr val="tx1"/>
                </a:solidFill>
              </a:ln>
            </c:spPr>
          </c:dPt>
          <c:dPt>
            <c:idx val="3"/>
            <c:spPr>
              <a:solidFill>
                <a:srgbClr val="FFFF99"/>
              </a:solidFill>
              <a:ln>
                <a:solidFill>
                  <a:schemeClr val="tx1"/>
                </a:solidFill>
              </a:ln>
            </c:spPr>
          </c:dPt>
          <c:dPt>
            <c:idx val="4"/>
            <c:spPr>
              <a:solidFill>
                <a:srgbClr val="B7DEE8"/>
              </a:solidFill>
              <a:ln>
                <a:solidFill>
                  <a:schemeClr val="tx1"/>
                </a:solidFill>
              </a:ln>
            </c:spPr>
          </c:dPt>
          <c:cat>
            <c:strRef>
              <c:f>Foglio1!$A$2:$A$6</c:f>
              <c:strCache>
                <c:ptCount val="5"/>
                <c:pt idx="0">
                  <c:v>Fatturato (1)</c:v>
                </c:pt>
                <c:pt idx="1">
                  <c:v>Fatturato estero (1)</c:v>
                </c:pt>
                <c:pt idx="2">
                  <c:v>Produzione (1)</c:v>
                </c:pt>
                <c:pt idx="3">
                  <c:v>Ordini (1)</c:v>
                </c:pt>
                <c:pt idx="4">
                  <c:v>Ordini esteri (1)</c:v>
                </c:pt>
              </c:strCache>
            </c:strRef>
          </c:cat>
          <c:val>
            <c:numRef>
              <c:f>Foglio1!$B$2:$B$6</c:f>
              <c:numCache>
                <c:formatCode>General</c:formatCode>
                <c:ptCount val="5"/>
              </c:numCache>
            </c:numRef>
          </c:val>
        </c:ser>
        <c:gapWidth val="75"/>
        <c:axId val="70654208"/>
        <c:axId val="70660096"/>
      </c:barChart>
      <c:catAx>
        <c:axId val="70654208"/>
        <c:scaling>
          <c:orientation val="maxMin"/>
        </c:scaling>
        <c:axPos val="l"/>
        <c:tickLblPos val="low"/>
        <c:spPr>
          <a:ln>
            <a:solidFill>
              <a:schemeClr val="bg1"/>
            </a:solidFill>
          </a:ln>
        </c:spPr>
        <c:crossAx val="70660096"/>
        <c:crosses val="autoZero"/>
        <c:auto val="1"/>
        <c:lblAlgn val="ctr"/>
        <c:lblOffset val="100"/>
      </c:catAx>
      <c:valAx>
        <c:axId val="70660096"/>
        <c:scaling>
          <c:orientation val="minMax"/>
        </c:scaling>
        <c:delete val="1"/>
        <c:axPos val="t"/>
        <c:numFmt formatCode="General" sourceLinked="1"/>
        <c:tickLblPos val="none"/>
        <c:crossAx val="70654208"/>
        <c:crosses val="autoZero"/>
        <c:crossBetween val="between"/>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73E-2"/>
          <c:y val="1.5873015873015879E-2"/>
          <c:w val="0.97453703703703709"/>
          <c:h val="0.96428571428571463"/>
        </c:manualLayout>
      </c:layout>
      <c:barChart>
        <c:barDir val="bar"/>
        <c:grouping val="clustered"/>
        <c:ser>
          <c:idx val="0"/>
          <c:order val="0"/>
          <c:tx>
            <c:strRef>
              <c:f>Foglio1!$B$1</c:f>
              <c:strCache>
                <c:ptCount val="1"/>
                <c:pt idx="0">
                  <c:v>Rimini</c:v>
                </c:pt>
              </c:strCache>
            </c:strRef>
          </c:tx>
          <c:spPr>
            <a:ln>
              <a:solidFill>
                <a:schemeClr val="tx1"/>
              </a:solidFill>
            </a:ln>
          </c:spPr>
          <c:dPt>
            <c:idx val="0"/>
            <c:spPr>
              <a:solidFill>
                <a:srgbClr val="FFCC99"/>
              </a:solidFill>
              <a:ln>
                <a:solidFill>
                  <a:schemeClr val="tx1"/>
                </a:solidFill>
              </a:ln>
            </c:spPr>
          </c:dPt>
          <c:dPt>
            <c:idx val="1"/>
            <c:spPr>
              <a:solidFill>
                <a:srgbClr val="99FF99"/>
              </a:solidFill>
              <a:ln>
                <a:solidFill>
                  <a:schemeClr val="tx1"/>
                </a:solidFill>
              </a:ln>
            </c:spPr>
          </c:dPt>
          <c:dPt>
            <c:idx val="2"/>
            <c:spPr>
              <a:solidFill>
                <a:srgbClr val="99CC00"/>
              </a:solidFill>
              <a:ln>
                <a:solidFill>
                  <a:schemeClr val="tx1"/>
                </a:solidFill>
              </a:ln>
            </c:spPr>
          </c:dPt>
          <c:dPt>
            <c:idx val="3"/>
            <c:spPr>
              <a:solidFill>
                <a:srgbClr val="FFFF99"/>
              </a:solidFill>
              <a:ln>
                <a:solidFill>
                  <a:schemeClr val="tx1"/>
                </a:solidFill>
              </a:ln>
            </c:spPr>
          </c:dPt>
          <c:dPt>
            <c:idx val="4"/>
            <c:spPr>
              <a:solidFill>
                <a:srgbClr val="B7DEE8"/>
              </a:solidFill>
              <a:ln>
                <a:solidFill>
                  <a:schemeClr val="tx1"/>
                </a:solidFill>
              </a:ln>
            </c:spPr>
          </c:dPt>
          <c:dLbls>
            <c:showVal val="1"/>
          </c:dLbls>
          <c:cat>
            <c:strRef>
              <c:f>Foglio1!$A$2:$A$6</c:f>
              <c:strCache>
                <c:ptCount val="5"/>
                <c:pt idx="0">
                  <c:v>Fatturato (1)</c:v>
                </c:pt>
                <c:pt idx="1">
                  <c:v>Fatturato estero (1)</c:v>
                </c:pt>
                <c:pt idx="2">
                  <c:v>Produzione (1)</c:v>
                </c:pt>
                <c:pt idx="3">
                  <c:v>Ordini (1)</c:v>
                </c:pt>
                <c:pt idx="4">
                  <c:v>Ordini esteri (1)</c:v>
                </c:pt>
              </c:strCache>
            </c:strRef>
          </c:cat>
          <c:val>
            <c:numRef>
              <c:f>Foglio1!$B$2:$B$6</c:f>
              <c:numCache>
                <c:formatCode>0.0;[Red]\-0.0</c:formatCode>
                <c:ptCount val="5"/>
                <c:pt idx="0">
                  <c:v>-2.332249999999978</c:v>
                </c:pt>
                <c:pt idx="1">
                  <c:v>1.1094999999999948</c:v>
                </c:pt>
                <c:pt idx="2">
                  <c:v>-2.3932499999999881</c:v>
                </c:pt>
                <c:pt idx="3">
                  <c:v>-2.2715000000000001</c:v>
                </c:pt>
                <c:pt idx="4">
                  <c:v>1.8540000000000001</c:v>
                </c:pt>
              </c:numCache>
            </c:numRef>
          </c:val>
        </c:ser>
        <c:gapWidth val="75"/>
        <c:axId val="70689920"/>
        <c:axId val="70691456"/>
      </c:barChart>
      <c:catAx>
        <c:axId val="70689920"/>
        <c:scaling>
          <c:orientation val="maxMin"/>
        </c:scaling>
        <c:axPos val="l"/>
        <c:tickLblPos val="none"/>
        <c:crossAx val="70691456"/>
        <c:crosses val="autoZero"/>
        <c:auto val="1"/>
        <c:lblAlgn val="ctr"/>
        <c:lblOffset val="100"/>
      </c:catAx>
      <c:valAx>
        <c:axId val="70691456"/>
        <c:scaling>
          <c:orientation val="minMax"/>
          <c:max val="5"/>
          <c:min val="-12"/>
        </c:scaling>
        <c:axPos val="t"/>
        <c:numFmt formatCode="0.0;[Red]\-0.0" sourceLinked="1"/>
        <c:tickLblPos val="none"/>
        <c:spPr>
          <a:ln>
            <a:solidFill>
              <a:sysClr val="window" lastClr="FFFFFF"/>
            </a:solidFill>
          </a:ln>
        </c:spPr>
        <c:crossAx val="70689920"/>
        <c:crosses val="autoZero"/>
        <c:crossBetween val="between"/>
        <c:majorUnit val="1"/>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73E-2"/>
          <c:y val="1.5873015873015879E-2"/>
          <c:w val="0.97453703703703709"/>
          <c:h val="0.96428571428571463"/>
        </c:manualLayout>
      </c:layout>
      <c:barChart>
        <c:barDir val="bar"/>
        <c:grouping val="clustered"/>
        <c:ser>
          <c:idx val="0"/>
          <c:order val="0"/>
          <c:tx>
            <c:strRef>
              <c:f>Foglio1!$B$1</c:f>
              <c:strCache>
                <c:ptCount val="1"/>
                <c:pt idx="0">
                  <c:v>Emilia-Romagna</c:v>
                </c:pt>
              </c:strCache>
            </c:strRef>
          </c:tx>
          <c:spPr>
            <a:ln>
              <a:solidFill>
                <a:schemeClr val="tx1"/>
              </a:solidFill>
            </a:ln>
          </c:spPr>
          <c:dPt>
            <c:idx val="0"/>
            <c:spPr>
              <a:solidFill>
                <a:srgbClr val="FFCC99"/>
              </a:solidFill>
              <a:ln>
                <a:solidFill>
                  <a:schemeClr val="tx1"/>
                </a:solidFill>
              </a:ln>
            </c:spPr>
          </c:dPt>
          <c:dPt>
            <c:idx val="1"/>
            <c:spPr>
              <a:solidFill>
                <a:srgbClr val="99FF99"/>
              </a:solidFill>
              <a:ln>
                <a:solidFill>
                  <a:schemeClr val="tx1"/>
                </a:solidFill>
              </a:ln>
            </c:spPr>
          </c:dPt>
          <c:dPt>
            <c:idx val="2"/>
            <c:spPr>
              <a:solidFill>
                <a:srgbClr val="99CC00"/>
              </a:solidFill>
              <a:ln>
                <a:solidFill>
                  <a:schemeClr val="tx1"/>
                </a:solidFill>
              </a:ln>
            </c:spPr>
          </c:dPt>
          <c:dPt>
            <c:idx val="3"/>
            <c:spPr>
              <a:solidFill>
                <a:srgbClr val="FFFF99"/>
              </a:solidFill>
              <a:ln>
                <a:solidFill>
                  <a:schemeClr val="tx1"/>
                </a:solidFill>
              </a:ln>
            </c:spPr>
          </c:dPt>
          <c:dPt>
            <c:idx val="4"/>
            <c:spPr>
              <a:solidFill>
                <a:srgbClr val="B7DEE8"/>
              </a:solidFill>
              <a:ln>
                <a:solidFill>
                  <a:schemeClr val="tx1"/>
                </a:solidFill>
              </a:ln>
            </c:spPr>
          </c:dPt>
          <c:dLbls>
            <c:showVal val="1"/>
          </c:dLbls>
          <c:cat>
            <c:strRef>
              <c:f>Foglio1!$A$2:$A$6</c:f>
              <c:strCache>
                <c:ptCount val="5"/>
                <c:pt idx="0">
                  <c:v>Fatturato (1)</c:v>
                </c:pt>
                <c:pt idx="1">
                  <c:v>Fatturato estero (1)</c:v>
                </c:pt>
                <c:pt idx="2">
                  <c:v>Produzione (1)</c:v>
                </c:pt>
                <c:pt idx="3">
                  <c:v>Ordini (1)</c:v>
                </c:pt>
                <c:pt idx="4">
                  <c:v>Ordini esteri (1)</c:v>
                </c:pt>
              </c:strCache>
            </c:strRef>
          </c:cat>
          <c:val>
            <c:numRef>
              <c:f>Foglio1!$B$2:$B$6</c:f>
              <c:numCache>
                <c:formatCode>0.0;[Red]\-0.0</c:formatCode>
                <c:ptCount val="5"/>
                <c:pt idx="0">
                  <c:v>-2.8172499999999889</c:v>
                </c:pt>
                <c:pt idx="1">
                  <c:v>1.7797499999999953</c:v>
                </c:pt>
                <c:pt idx="2">
                  <c:v>-2.6732499999999977</c:v>
                </c:pt>
                <c:pt idx="3">
                  <c:v>-3.2534999999999998</c:v>
                </c:pt>
                <c:pt idx="4">
                  <c:v>1.9957500000000001</c:v>
                </c:pt>
              </c:numCache>
            </c:numRef>
          </c:val>
        </c:ser>
        <c:gapWidth val="75"/>
        <c:axId val="70828032"/>
        <c:axId val="70829568"/>
      </c:barChart>
      <c:catAx>
        <c:axId val="70828032"/>
        <c:scaling>
          <c:orientation val="maxMin"/>
        </c:scaling>
        <c:axPos val="l"/>
        <c:tickLblPos val="none"/>
        <c:crossAx val="70829568"/>
        <c:crosses val="autoZero"/>
        <c:auto val="1"/>
        <c:lblAlgn val="ctr"/>
        <c:lblOffset val="100"/>
      </c:catAx>
      <c:valAx>
        <c:axId val="70829568"/>
        <c:scaling>
          <c:orientation val="minMax"/>
          <c:max val="5"/>
          <c:min val="-12"/>
        </c:scaling>
        <c:axPos val="t"/>
        <c:numFmt formatCode="0.0;[Red]\-0.0" sourceLinked="1"/>
        <c:tickLblPos val="none"/>
        <c:spPr>
          <a:ln>
            <a:solidFill>
              <a:schemeClr val="bg1"/>
            </a:solidFill>
          </a:ln>
        </c:spPr>
        <c:crossAx val="70828032"/>
        <c:crosses val="autoZero"/>
        <c:crossBetween val="between"/>
        <c:majorUnit val="1"/>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73E-2"/>
          <c:y val="1.5873015873015879E-2"/>
          <c:w val="0.97453703703703709"/>
          <c:h val="0.96428571428571463"/>
        </c:manualLayout>
      </c:layout>
      <c:barChart>
        <c:barDir val="bar"/>
        <c:grouping val="clustered"/>
        <c:ser>
          <c:idx val="0"/>
          <c:order val="0"/>
          <c:tx>
            <c:strRef>
              <c:f>Foglio1!$B$1</c:f>
              <c:strCache>
                <c:ptCount val="1"/>
                <c:pt idx="0">
                  <c:v>Rimini</c:v>
                </c:pt>
              </c:strCache>
            </c:strRef>
          </c:tx>
          <c:spPr>
            <a:solidFill>
              <a:srgbClr val="99CC00"/>
            </a:solidFill>
            <a:ln>
              <a:solidFill>
                <a:schemeClr val="tx1"/>
              </a:solidFill>
            </a:ln>
          </c:spPr>
          <c:dLbls>
            <c:dLbl>
              <c:idx val="0"/>
              <c:layout>
                <c:manualLayout>
                  <c:x val="-6.4141414141417131E-3"/>
                  <c:y val="4.9768595624282423E-2"/>
                </c:manualLayout>
              </c:layout>
              <c:showVal val="1"/>
            </c:dLbl>
            <c:showVal val="1"/>
          </c:dLbls>
          <c:cat>
            <c:strRef>
              <c:f>Foglio1!$A$2</c:f>
              <c:strCache>
                <c:ptCount val="1"/>
                <c:pt idx="0">
                  <c:v>Produzione (1)</c:v>
                </c:pt>
              </c:strCache>
            </c:strRef>
          </c:cat>
          <c:val>
            <c:numRef>
              <c:f>Foglio1!$B$2</c:f>
              <c:numCache>
                <c:formatCode>0.0;[Red]\-0.0</c:formatCode>
                <c:ptCount val="1"/>
                <c:pt idx="0">
                  <c:v>-5.6927499999999975</c:v>
                </c:pt>
              </c:numCache>
            </c:numRef>
          </c:val>
        </c:ser>
        <c:gapWidth val="75"/>
        <c:axId val="70931200"/>
        <c:axId val="70932736"/>
      </c:barChart>
      <c:catAx>
        <c:axId val="70931200"/>
        <c:scaling>
          <c:orientation val="maxMin"/>
        </c:scaling>
        <c:axPos val="l"/>
        <c:majorTickMark val="none"/>
        <c:tickLblPos val="none"/>
        <c:crossAx val="70932736"/>
        <c:crosses val="autoZero"/>
        <c:auto val="1"/>
        <c:lblAlgn val="ctr"/>
        <c:lblOffset val="100"/>
      </c:catAx>
      <c:valAx>
        <c:axId val="70932736"/>
        <c:scaling>
          <c:orientation val="minMax"/>
          <c:max val="5"/>
          <c:min val="-12"/>
        </c:scaling>
        <c:axPos val="t"/>
        <c:numFmt formatCode="0.0;[Red]\-0.0" sourceLinked="1"/>
        <c:tickLblPos val="none"/>
        <c:spPr>
          <a:ln>
            <a:solidFill>
              <a:schemeClr val="bg1"/>
            </a:solidFill>
          </a:ln>
        </c:spPr>
        <c:crossAx val="70931200"/>
        <c:crosses val="autoZero"/>
        <c:crossBetween val="between"/>
        <c:majorUnit val="1"/>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73E-2"/>
          <c:y val="1.5873015873015879E-2"/>
          <c:w val="0.97453703703703709"/>
          <c:h val="0.96428571428571463"/>
        </c:manualLayout>
      </c:layout>
      <c:barChart>
        <c:barDir val="bar"/>
        <c:grouping val="clustered"/>
        <c:ser>
          <c:idx val="0"/>
          <c:order val="0"/>
          <c:tx>
            <c:strRef>
              <c:f>Foglio1!$B$1</c:f>
              <c:strCache>
                <c:ptCount val="1"/>
                <c:pt idx="0">
                  <c:v>Emilia-Romagna</c:v>
                </c:pt>
              </c:strCache>
            </c:strRef>
          </c:tx>
          <c:spPr>
            <a:solidFill>
              <a:srgbClr val="A6A6A6"/>
            </a:solidFill>
            <a:ln>
              <a:solidFill>
                <a:schemeClr val="tx1"/>
              </a:solidFill>
            </a:ln>
          </c:spPr>
          <c:dPt>
            <c:idx val="0"/>
            <c:spPr>
              <a:solidFill>
                <a:srgbClr val="99CC00"/>
              </a:solidFill>
              <a:ln>
                <a:solidFill>
                  <a:sysClr val="windowText" lastClr="000000"/>
                </a:solidFill>
              </a:ln>
            </c:spPr>
          </c:dPt>
          <c:dLbls>
            <c:showVal val="1"/>
          </c:dLbls>
          <c:cat>
            <c:strRef>
              <c:f>Foglio1!$A$2</c:f>
              <c:strCache>
                <c:ptCount val="1"/>
                <c:pt idx="0">
                  <c:v>Produzione (1)</c:v>
                </c:pt>
              </c:strCache>
            </c:strRef>
          </c:cat>
          <c:val>
            <c:numRef>
              <c:f>Foglio1!$B$2</c:f>
              <c:numCache>
                <c:formatCode>0.0;[Red]\-0.0</c:formatCode>
                <c:ptCount val="1"/>
                <c:pt idx="0">
                  <c:v>-4.7530000000000001</c:v>
                </c:pt>
              </c:numCache>
            </c:numRef>
          </c:val>
        </c:ser>
        <c:gapWidth val="75"/>
        <c:axId val="71059328"/>
        <c:axId val="71060864"/>
      </c:barChart>
      <c:catAx>
        <c:axId val="71059328"/>
        <c:scaling>
          <c:orientation val="maxMin"/>
        </c:scaling>
        <c:axPos val="l"/>
        <c:majorTickMark val="none"/>
        <c:tickLblPos val="none"/>
        <c:crossAx val="71060864"/>
        <c:crosses val="autoZero"/>
        <c:auto val="1"/>
        <c:lblAlgn val="ctr"/>
        <c:lblOffset val="100"/>
      </c:catAx>
      <c:valAx>
        <c:axId val="71060864"/>
        <c:scaling>
          <c:orientation val="minMax"/>
          <c:max val="5"/>
          <c:min val="-12"/>
        </c:scaling>
        <c:axPos val="t"/>
        <c:numFmt formatCode="0.0;[Red]\-0.0" sourceLinked="1"/>
        <c:tickLblPos val="none"/>
        <c:spPr>
          <a:ln>
            <a:solidFill>
              <a:schemeClr val="bg1"/>
            </a:solidFill>
          </a:ln>
        </c:spPr>
        <c:crossAx val="71059328"/>
        <c:crosses val="autoZero"/>
        <c:crossBetween val="between"/>
        <c:majorUnit val="1"/>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73E-2"/>
          <c:y val="1.5873015873015879E-2"/>
          <c:w val="0.97453703703703709"/>
          <c:h val="0.96428571428571463"/>
        </c:manualLayout>
      </c:layout>
      <c:barChart>
        <c:barDir val="bar"/>
        <c:grouping val="clustered"/>
        <c:ser>
          <c:idx val="0"/>
          <c:order val="0"/>
          <c:tx>
            <c:strRef>
              <c:f>Foglio1!$B$1</c:f>
              <c:strCache>
                <c:ptCount val="1"/>
                <c:pt idx="0">
                  <c:v>Rimini</c:v>
                </c:pt>
              </c:strCache>
            </c:strRef>
          </c:tx>
          <c:spPr>
            <a:solidFill>
              <a:srgbClr val="FFCC99"/>
            </a:solidFill>
            <a:ln>
              <a:solidFill>
                <a:schemeClr val="tx1"/>
              </a:solidFill>
            </a:ln>
          </c:spPr>
          <c:dLbls>
            <c:dLbl>
              <c:idx val="0"/>
              <c:layout>
                <c:manualLayout>
                  <c:x val="-6.414141414141694E-3"/>
                  <c:y val="4.9768595624282423E-2"/>
                </c:manualLayout>
              </c:layout>
              <c:showVal val="1"/>
            </c:dLbl>
            <c:showVal val="1"/>
          </c:dLbls>
          <c:cat>
            <c:strRef>
              <c:f>Foglio1!$A$2</c:f>
              <c:strCache>
                <c:ptCount val="1"/>
                <c:pt idx="0">
                  <c:v>Volume d'affari</c:v>
                </c:pt>
              </c:strCache>
            </c:strRef>
          </c:cat>
          <c:val>
            <c:numRef>
              <c:f>Foglio1!$B$2</c:f>
              <c:numCache>
                <c:formatCode>0.0;[Red]\-0.0</c:formatCode>
                <c:ptCount val="1"/>
                <c:pt idx="0">
                  <c:v>-3.2714999999999987</c:v>
                </c:pt>
              </c:numCache>
            </c:numRef>
          </c:val>
        </c:ser>
        <c:gapWidth val="75"/>
        <c:axId val="71096960"/>
        <c:axId val="71172480"/>
      </c:barChart>
      <c:catAx>
        <c:axId val="71096960"/>
        <c:scaling>
          <c:orientation val="maxMin"/>
        </c:scaling>
        <c:axPos val="l"/>
        <c:majorTickMark val="none"/>
        <c:tickLblPos val="none"/>
        <c:crossAx val="71172480"/>
        <c:crosses val="autoZero"/>
        <c:auto val="1"/>
        <c:lblAlgn val="ctr"/>
        <c:lblOffset val="100"/>
      </c:catAx>
      <c:valAx>
        <c:axId val="71172480"/>
        <c:scaling>
          <c:orientation val="minMax"/>
          <c:max val="5"/>
          <c:min val="-12"/>
        </c:scaling>
        <c:axPos val="t"/>
        <c:numFmt formatCode="0.0;[Red]\-0.0" sourceLinked="1"/>
        <c:tickLblPos val="none"/>
        <c:spPr>
          <a:ln>
            <a:solidFill>
              <a:schemeClr val="bg1"/>
            </a:solidFill>
          </a:ln>
        </c:spPr>
        <c:crossAx val="71096960"/>
        <c:crosses val="autoZero"/>
        <c:crossBetween val="between"/>
        <c:majorUnit val="1"/>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73E-2"/>
          <c:y val="1.5873015873015879E-2"/>
          <c:w val="0.97453703703703709"/>
          <c:h val="0.96428571428571463"/>
        </c:manualLayout>
      </c:layout>
      <c:barChart>
        <c:barDir val="bar"/>
        <c:grouping val="clustered"/>
        <c:ser>
          <c:idx val="0"/>
          <c:order val="0"/>
          <c:tx>
            <c:strRef>
              <c:f>Foglio1!$B$1</c:f>
              <c:strCache>
                <c:ptCount val="1"/>
                <c:pt idx="0">
                  <c:v>Emilia-Romagna</c:v>
                </c:pt>
              </c:strCache>
            </c:strRef>
          </c:tx>
          <c:spPr>
            <a:solidFill>
              <a:srgbClr val="FFCC99"/>
            </a:solidFill>
            <a:ln>
              <a:solidFill>
                <a:schemeClr val="tx1"/>
              </a:solidFill>
            </a:ln>
          </c:spPr>
          <c:dLbls>
            <c:dLbl>
              <c:idx val="0"/>
              <c:layout>
                <c:manualLayout>
                  <c:x val="-6.4141414141416931E-3"/>
                  <c:y val="4.9768595624282423E-2"/>
                </c:manualLayout>
              </c:layout>
              <c:showVal val="1"/>
            </c:dLbl>
            <c:showVal val="1"/>
          </c:dLbls>
          <c:cat>
            <c:strRef>
              <c:f>Foglio1!$A$2</c:f>
              <c:strCache>
                <c:ptCount val="1"/>
                <c:pt idx="0">
                  <c:v>Volume d'affari</c:v>
                </c:pt>
              </c:strCache>
            </c:strRef>
          </c:cat>
          <c:val>
            <c:numRef>
              <c:f>Foglio1!$B$2</c:f>
              <c:numCache>
                <c:formatCode>0.0;[Red]\-0.0</c:formatCode>
                <c:ptCount val="1"/>
                <c:pt idx="0">
                  <c:v>-5.5772499999999994</c:v>
                </c:pt>
              </c:numCache>
            </c:numRef>
          </c:val>
        </c:ser>
        <c:gapWidth val="75"/>
        <c:axId val="71233536"/>
        <c:axId val="71235072"/>
      </c:barChart>
      <c:catAx>
        <c:axId val="71233536"/>
        <c:scaling>
          <c:orientation val="maxMin"/>
        </c:scaling>
        <c:axPos val="l"/>
        <c:majorTickMark val="none"/>
        <c:tickLblPos val="none"/>
        <c:crossAx val="71235072"/>
        <c:crosses val="autoZero"/>
        <c:auto val="1"/>
        <c:lblAlgn val="ctr"/>
        <c:lblOffset val="100"/>
      </c:catAx>
      <c:valAx>
        <c:axId val="71235072"/>
        <c:scaling>
          <c:orientation val="minMax"/>
          <c:max val="5"/>
          <c:min val="-12"/>
        </c:scaling>
        <c:axPos val="t"/>
        <c:numFmt formatCode="0.0;[Red]\-0.0" sourceLinked="1"/>
        <c:tickLblPos val="none"/>
        <c:spPr>
          <a:ln>
            <a:solidFill>
              <a:schemeClr val="bg1"/>
            </a:solidFill>
          </a:ln>
        </c:spPr>
        <c:crossAx val="71233536"/>
        <c:crosses val="autoZero"/>
        <c:crossBetween val="between"/>
        <c:majorUnit val="1"/>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73E-2"/>
          <c:y val="1.5873015873015879E-2"/>
          <c:w val="0.97453703703703709"/>
          <c:h val="0.96428571428571463"/>
        </c:manualLayout>
      </c:layout>
      <c:barChart>
        <c:barDir val="bar"/>
        <c:grouping val="clustered"/>
        <c:ser>
          <c:idx val="0"/>
          <c:order val="0"/>
          <c:tx>
            <c:strRef>
              <c:f>Foglio1!$B$1</c:f>
              <c:strCache>
                <c:ptCount val="1"/>
                <c:pt idx="0">
                  <c:v>Rimini</c:v>
                </c:pt>
              </c:strCache>
            </c:strRef>
          </c:tx>
          <c:spPr>
            <a:ln>
              <a:solidFill>
                <a:schemeClr val="tx1"/>
              </a:solidFill>
            </a:ln>
          </c:spPr>
          <c:dPt>
            <c:idx val="0"/>
            <c:spPr>
              <a:solidFill>
                <a:srgbClr val="FFCC99"/>
              </a:solidFill>
              <a:ln>
                <a:solidFill>
                  <a:schemeClr val="tx1"/>
                </a:solidFill>
              </a:ln>
            </c:spPr>
          </c:dPt>
          <c:dPt>
            <c:idx val="1"/>
            <c:spPr>
              <a:solidFill>
                <a:srgbClr val="99FF99"/>
              </a:solidFill>
              <a:ln>
                <a:solidFill>
                  <a:schemeClr val="tx1"/>
                </a:solidFill>
              </a:ln>
            </c:spPr>
          </c:dPt>
          <c:dPt>
            <c:idx val="2"/>
            <c:spPr>
              <a:solidFill>
                <a:srgbClr val="99CC00"/>
              </a:solidFill>
              <a:ln>
                <a:solidFill>
                  <a:schemeClr val="tx1"/>
                </a:solidFill>
              </a:ln>
            </c:spPr>
          </c:dPt>
          <c:dPt>
            <c:idx val="3"/>
            <c:spPr>
              <a:solidFill>
                <a:srgbClr val="FFFF99"/>
              </a:solidFill>
              <a:ln>
                <a:solidFill>
                  <a:schemeClr val="tx1"/>
                </a:solidFill>
              </a:ln>
            </c:spPr>
          </c:dPt>
          <c:dPt>
            <c:idx val="4"/>
            <c:spPr>
              <a:solidFill>
                <a:srgbClr val="B7DEE8"/>
              </a:solidFill>
              <a:ln>
                <a:solidFill>
                  <a:schemeClr val="tx1"/>
                </a:solidFill>
              </a:ln>
            </c:spPr>
          </c:dPt>
          <c:dLbls>
            <c:showVal val="1"/>
          </c:dLbls>
          <c:cat>
            <c:strRef>
              <c:f>Foglio1!$A$2:$A$6</c:f>
              <c:strCache>
                <c:ptCount val="5"/>
                <c:pt idx="0">
                  <c:v>Fatturato (1)</c:v>
                </c:pt>
                <c:pt idx="1">
                  <c:v>Fatturato estero (1)</c:v>
                </c:pt>
                <c:pt idx="2">
                  <c:v>Produzione (1)</c:v>
                </c:pt>
                <c:pt idx="3">
                  <c:v>Ordini (1)</c:v>
                </c:pt>
                <c:pt idx="4">
                  <c:v>Ordini esteri (1)</c:v>
                </c:pt>
              </c:strCache>
            </c:strRef>
          </c:cat>
          <c:val>
            <c:numRef>
              <c:f>Foglio1!$B$2:$B$6</c:f>
              <c:numCache>
                <c:formatCode>0.0;[Red]\-0.0</c:formatCode>
                <c:ptCount val="5"/>
                <c:pt idx="0">
                  <c:v>-2.21</c:v>
                </c:pt>
                <c:pt idx="1">
                  <c:v>0.49500000000000038</c:v>
                </c:pt>
                <c:pt idx="2">
                  <c:v>-2.5449999999999999</c:v>
                </c:pt>
                <c:pt idx="3">
                  <c:v>-2.2109999999999999</c:v>
                </c:pt>
                <c:pt idx="4">
                  <c:v>-1.6930000000000001</c:v>
                </c:pt>
              </c:numCache>
            </c:numRef>
          </c:val>
        </c:ser>
        <c:gapWidth val="75"/>
        <c:axId val="69292800"/>
        <c:axId val="69294336"/>
      </c:barChart>
      <c:catAx>
        <c:axId val="69292800"/>
        <c:scaling>
          <c:orientation val="maxMin"/>
        </c:scaling>
        <c:axPos val="l"/>
        <c:tickLblPos val="none"/>
        <c:crossAx val="69294336"/>
        <c:crosses val="autoZero"/>
        <c:auto val="1"/>
        <c:lblAlgn val="ctr"/>
        <c:lblOffset val="100"/>
      </c:catAx>
      <c:valAx>
        <c:axId val="69294336"/>
        <c:scaling>
          <c:orientation val="minMax"/>
          <c:max val="12"/>
          <c:min val="-12"/>
        </c:scaling>
        <c:axPos val="t"/>
        <c:numFmt formatCode="0.0;[Red]\-0.0" sourceLinked="1"/>
        <c:tickLblPos val="none"/>
        <c:spPr>
          <a:ln>
            <a:solidFill>
              <a:sysClr val="window" lastClr="FFFFFF"/>
            </a:solidFill>
          </a:ln>
        </c:spPr>
        <c:crossAx val="69292800"/>
        <c:crosses val="autoZero"/>
        <c:crossBetween val="between"/>
        <c:majorUnit val="1"/>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73E-2"/>
          <c:y val="1.5873015873015879E-2"/>
          <c:w val="0.97453703703703709"/>
          <c:h val="0.96428571428571463"/>
        </c:manualLayout>
      </c:layout>
      <c:barChart>
        <c:barDir val="bar"/>
        <c:grouping val="clustered"/>
        <c:ser>
          <c:idx val="0"/>
          <c:order val="0"/>
          <c:tx>
            <c:strRef>
              <c:f>Foglio1!$B$1</c:f>
              <c:strCache>
                <c:ptCount val="1"/>
                <c:pt idx="0">
                  <c:v>Rimini</c:v>
                </c:pt>
              </c:strCache>
            </c:strRef>
          </c:tx>
          <c:spPr>
            <a:solidFill>
              <a:srgbClr val="FFCC99"/>
            </a:solidFill>
            <a:ln>
              <a:solidFill>
                <a:schemeClr val="tx1"/>
              </a:solidFill>
            </a:ln>
          </c:spPr>
          <c:dLbls>
            <c:dLbl>
              <c:idx val="0"/>
              <c:layout>
                <c:manualLayout>
                  <c:x val="-6.4141414141417131E-3"/>
                  <c:y val="4.9768595624282423E-2"/>
                </c:manualLayout>
              </c:layout>
              <c:showVal val="1"/>
            </c:dLbl>
            <c:showVal val="1"/>
          </c:dLbls>
          <c:cat>
            <c:strRef>
              <c:f>Foglio1!$A$2</c:f>
              <c:strCache>
                <c:ptCount val="1"/>
                <c:pt idx="0">
                  <c:v>Volume d'affari</c:v>
                </c:pt>
              </c:strCache>
            </c:strRef>
          </c:cat>
          <c:val>
            <c:numRef>
              <c:f>Foglio1!$B$2</c:f>
              <c:numCache>
                <c:formatCode>0.0;[Red]\-0.0</c:formatCode>
                <c:ptCount val="1"/>
                <c:pt idx="0">
                  <c:v>-2.1132500000000003</c:v>
                </c:pt>
              </c:numCache>
            </c:numRef>
          </c:val>
        </c:ser>
        <c:gapWidth val="75"/>
        <c:axId val="71385472"/>
        <c:axId val="71387008"/>
      </c:barChart>
      <c:catAx>
        <c:axId val="71385472"/>
        <c:scaling>
          <c:orientation val="maxMin"/>
        </c:scaling>
        <c:axPos val="l"/>
        <c:majorTickMark val="none"/>
        <c:tickLblPos val="none"/>
        <c:crossAx val="71387008"/>
        <c:crosses val="autoZero"/>
        <c:auto val="1"/>
        <c:lblAlgn val="ctr"/>
        <c:lblOffset val="100"/>
      </c:catAx>
      <c:valAx>
        <c:axId val="71387008"/>
        <c:scaling>
          <c:orientation val="minMax"/>
          <c:max val="5"/>
          <c:min val="-12"/>
        </c:scaling>
        <c:axPos val="t"/>
        <c:numFmt formatCode="0.0;[Red]\-0.0" sourceLinked="1"/>
        <c:tickLblPos val="none"/>
        <c:spPr>
          <a:ln>
            <a:solidFill>
              <a:schemeClr val="bg1"/>
            </a:solidFill>
          </a:ln>
        </c:spPr>
        <c:crossAx val="71385472"/>
        <c:crosses val="autoZero"/>
        <c:crossBetween val="between"/>
        <c:majorUnit val="1"/>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73E-2"/>
          <c:y val="1.5873015873015879E-2"/>
          <c:w val="0.97453703703703709"/>
          <c:h val="0.96428571428571463"/>
        </c:manualLayout>
      </c:layout>
      <c:barChart>
        <c:barDir val="bar"/>
        <c:grouping val="clustered"/>
        <c:ser>
          <c:idx val="0"/>
          <c:order val="0"/>
          <c:tx>
            <c:strRef>
              <c:f>Foglio1!$B$1</c:f>
              <c:strCache>
                <c:ptCount val="1"/>
                <c:pt idx="0">
                  <c:v>Emilia-Romagna</c:v>
                </c:pt>
              </c:strCache>
            </c:strRef>
          </c:tx>
          <c:spPr>
            <a:solidFill>
              <a:srgbClr val="FFCC99"/>
            </a:solidFill>
            <a:ln>
              <a:solidFill>
                <a:schemeClr val="tx1"/>
              </a:solidFill>
            </a:ln>
          </c:spPr>
          <c:dLbls>
            <c:dLbl>
              <c:idx val="0"/>
              <c:layout>
                <c:manualLayout>
                  <c:x val="-6.4141414141417122E-3"/>
                  <c:y val="4.9768595624282423E-2"/>
                </c:manualLayout>
              </c:layout>
              <c:showVal val="1"/>
            </c:dLbl>
            <c:showVal val="1"/>
          </c:dLbls>
          <c:cat>
            <c:strRef>
              <c:f>Foglio1!$A$2</c:f>
              <c:strCache>
                <c:ptCount val="1"/>
                <c:pt idx="0">
                  <c:v>Volume d'affari</c:v>
                </c:pt>
              </c:strCache>
            </c:strRef>
          </c:cat>
          <c:val>
            <c:numRef>
              <c:f>Foglio1!$B$2</c:f>
              <c:numCache>
                <c:formatCode>0.0;[Red]\-0.0</c:formatCode>
                <c:ptCount val="1"/>
                <c:pt idx="0">
                  <c:v>-5.2450000000000001</c:v>
                </c:pt>
              </c:numCache>
            </c:numRef>
          </c:val>
        </c:ser>
        <c:gapWidth val="75"/>
        <c:axId val="71087232"/>
        <c:axId val="71088768"/>
      </c:barChart>
      <c:catAx>
        <c:axId val="71087232"/>
        <c:scaling>
          <c:orientation val="maxMin"/>
        </c:scaling>
        <c:axPos val="l"/>
        <c:majorTickMark val="none"/>
        <c:tickLblPos val="none"/>
        <c:crossAx val="71088768"/>
        <c:crosses val="autoZero"/>
        <c:auto val="1"/>
        <c:lblAlgn val="ctr"/>
        <c:lblOffset val="100"/>
      </c:catAx>
      <c:valAx>
        <c:axId val="71088768"/>
        <c:scaling>
          <c:orientation val="minMax"/>
          <c:max val="5"/>
          <c:min val="-12"/>
        </c:scaling>
        <c:axPos val="t"/>
        <c:numFmt formatCode="0.0;[Red]\-0.0" sourceLinked="1"/>
        <c:tickLblPos val="none"/>
        <c:spPr>
          <a:ln>
            <a:solidFill>
              <a:schemeClr val="bg1"/>
            </a:solidFill>
          </a:ln>
        </c:spPr>
        <c:crossAx val="71087232"/>
        <c:crosses val="autoZero"/>
        <c:crossBetween val="between"/>
        <c:majorUnit val="1"/>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73E-2"/>
          <c:y val="1.5873015873015879E-2"/>
          <c:w val="0.97453703703703709"/>
          <c:h val="0.96428571428571463"/>
        </c:manualLayout>
      </c:layout>
      <c:barChart>
        <c:barDir val="bar"/>
        <c:grouping val="clustered"/>
        <c:ser>
          <c:idx val="0"/>
          <c:order val="0"/>
          <c:tx>
            <c:strRef>
              <c:f>Foglio1!$B$1</c:f>
              <c:strCache>
                <c:ptCount val="1"/>
                <c:pt idx="0">
                  <c:v>Rimini</c:v>
                </c:pt>
              </c:strCache>
            </c:strRef>
          </c:tx>
          <c:spPr>
            <a:solidFill>
              <a:srgbClr val="FFCC99"/>
            </a:solidFill>
            <a:ln>
              <a:solidFill>
                <a:schemeClr val="tx1"/>
              </a:solidFill>
            </a:ln>
          </c:spPr>
          <c:dLbls>
            <c:dLbl>
              <c:idx val="0"/>
              <c:layout>
                <c:manualLayout>
                  <c:x val="-6.4141414141417052E-3"/>
                  <c:y val="4.9768595624282423E-2"/>
                </c:manualLayout>
              </c:layout>
              <c:showVal val="1"/>
            </c:dLbl>
            <c:showVal val="1"/>
          </c:dLbls>
          <c:cat>
            <c:strRef>
              <c:f>Foglio1!$A$2</c:f>
              <c:strCache>
                <c:ptCount val="1"/>
                <c:pt idx="0">
                  <c:v>Vendite (1) - var. t-t(a-1)</c:v>
                </c:pt>
              </c:strCache>
            </c:strRef>
          </c:cat>
          <c:val>
            <c:numRef>
              <c:f>Foglio1!$B$2</c:f>
              <c:numCache>
                <c:formatCode>0.0;[Red]\-0.0</c:formatCode>
                <c:ptCount val="1"/>
                <c:pt idx="0">
                  <c:v>-6.1807500000000006</c:v>
                </c:pt>
              </c:numCache>
            </c:numRef>
          </c:val>
        </c:ser>
        <c:gapWidth val="75"/>
        <c:axId val="71632768"/>
        <c:axId val="71634304"/>
      </c:barChart>
      <c:catAx>
        <c:axId val="71632768"/>
        <c:scaling>
          <c:orientation val="maxMin"/>
        </c:scaling>
        <c:axPos val="l"/>
        <c:majorTickMark val="none"/>
        <c:tickLblPos val="none"/>
        <c:crossAx val="71634304"/>
        <c:crosses val="autoZero"/>
        <c:auto val="1"/>
        <c:lblAlgn val="ctr"/>
        <c:lblOffset val="100"/>
      </c:catAx>
      <c:valAx>
        <c:axId val="71634304"/>
        <c:scaling>
          <c:orientation val="minMax"/>
          <c:max val="5"/>
          <c:min val="-12"/>
        </c:scaling>
        <c:axPos val="t"/>
        <c:numFmt formatCode="0.0;[Red]\-0.0" sourceLinked="1"/>
        <c:tickLblPos val="none"/>
        <c:spPr>
          <a:ln>
            <a:solidFill>
              <a:schemeClr val="bg1"/>
            </a:solidFill>
          </a:ln>
        </c:spPr>
        <c:crossAx val="71632768"/>
        <c:crosses val="autoZero"/>
        <c:crossBetween val="between"/>
        <c:majorUnit val="1"/>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73E-2"/>
          <c:y val="1.5873015873015879E-2"/>
          <c:w val="0.97453703703703709"/>
          <c:h val="0.96428571428571463"/>
        </c:manualLayout>
      </c:layout>
      <c:barChart>
        <c:barDir val="bar"/>
        <c:grouping val="clustered"/>
        <c:ser>
          <c:idx val="0"/>
          <c:order val="0"/>
          <c:tx>
            <c:strRef>
              <c:f>Foglio1!$B$1</c:f>
              <c:strCache>
                <c:ptCount val="1"/>
                <c:pt idx="0">
                  <c:v>Emilia-Romagna</c:v>
                </c:pt>
              </c:strCache>
            </c:strRef>
          </c:tx>
          <c:spPr>
            <a:solidFill>
              <a:srgbClr val="FFCC99"/>
            </a:solidFill>
            <a:ln>
              <a:solidFill>
                <a:schemeClr val="tx1"/>
              </a:solidFill>
            </a:ln>
          </c:spPr>
          <c:dLbls>
            <c:dLbl>
              <c:idx val="0"/>
              <c:layout>
                <c:manualLayout>
                  <c:x val="-6.4141414141417035E-3"/>
                  <c:y val="4.9768595624282423E-2"/>
                </c:manualLayout>
              </c:layout>
              <c:showVal val="1"/>
            </c:dLbl>
            <c:showVal val="1"/>
          </c:dLbls>
          <c:cat>
            <c:strRef>
              <c:f>Foglio1!$A$2</c:f>
              <c:strCache>
                <c:ptCount val="1"/>
                <c:pt idx="0">
                  <c:v>Vendite (1) - var. t-t(a-1)</c:v>
                </c:pt>
              </c:strCache>
            </c:strRef>
          </c:cat>
          <c:val>
            <c:numRef>
              <c:f>Foglio1!$B$2</c:f>
              <c:numCache>
                <c:formatCode>0.0;[Red]\-0.0</c:formatCode>
                <c:ptCount val="1"/>
                <c:pt idx="0">
                  <c:v>-5.7147499999999996</c:v>
                </c:pt>
              </c:numCache>
            </c:numRef>
          </c:val>
        </c:ser>
        <c:gapWidth val="75"/>
        <c:axId val="71830144"/>
        <c:axId val="71836032"/>
      </c:barChart>
      <c:catAx>
        <c:axId val="71830144"/>
        <c:scaling>
          <c:orientation val="maxMin"/>
        </c:scaling>
        <c:axPos val="l"/>
        <c:majorTickMark val="none"/>
        <c:tickLblPos val="none"/>
        <c:crossAx val="71836032"/>
        <c:crosses val="autoZero"/>
        <c:auto val="1"/>
        <c:lblAlgn val="ctr"/>
        <c:lblOffset val="100"/>
      </c:catAx>
      <c:valAx>
        <c:axId val="71836032"/>
        <c:scaling>
          <c:orientation val="minMax"/>
          <c:max val="5"/>
          <c:min val="-12"/>
        </c:scaling>
        <c:axPos val="t"/>
        <c:numFmt formatCode="0.0;[Red]\-0.0" sourceLinked="1"/>
        <c:tickLblPos val="none"/>
        <c:spPr>
          <a:ln>
            <a:solidFill>
              <a:schemeClr val="bg1"/>
            </a:solidFill>
          </a:ln>
        </c:spPr>
        <c:crossAx val="71830144"/>
        <c:crosses val="autoZero"/>
        <c:crossBetween val="between"/>
        <c:majorUnit val="1"/>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sz="800" b="1" i="0" u="none" strike="noStrike" baseline="0">
                <a:solidFill>
                  <a:srgbClr val="000000"/>
                </a:solidFill>
                <a:latin typeface="Arial"/>
                <a:ea typeface="Arial"/>
                <a:cs typeface="Arial"/>
              </a:defRPr>
            </a:pPr>
            <a:r>
              <a:rPr lang="it-IT"/>
              <a:t>Rimini - Var. % annue Export</a:t>
            </a:r>
            <a:r>
              <a:rPr lang="it-IT" baseline="0"/>
              <a:t> - periodo </a:t>
            </a:r>
            <a:r>
              <a:rPr lang="it-IT"/>
              <a:t>2008 /</a:t>
            </a:r>
            <a:r>
              <a:rPr lang="it-IT" baseline="0"/>
              <a:t> </a:t>
            </a:r>
            <a:r>
              <a:rPr lang="it-IT"/>
              <a:t>2014</a:t>
            </a:r>
          </a:p>
        </c:rich>
      </c:tx>
      <c:layout>
        <c:manualLayout>
          <c:xMode val="edge"/>
          <c:yMode val="edge"/>
          <c:x val="0.15830005490001428"/>
          <c:y val="9.5033575348536228E-4"/>
        </c:manualLayout>
      </c:layout>
      <c:spPr>
        <a:noFill/>
        <a:ln w="25400">
          <a:noFill/>
        </a:ln>
      </c:spPr>
    </c:title>
    <c:plotArea>
      <c:layout>
        <c:manualLayout>
          <c:layoutTarget val="inner"/>
          <c:xMode val="edge"/>
          <c:yMode val="edge"/>
          <c:x val="0.15000000000000011"/>
          <c:y val="0.16346192218938321"/>
          <c:w val="0.8250000000000004"/>
          <c:h val="0.77884798219647355"/>
        </c:manualLayout>
      </c:layout>
      <c:barChart>
        <c:barDir val="col"/>
        <c:grouping val="clustered"/>
        <c:ser>
          <c:idx val="0"/>
          <c:order val="0"/>
          <c:spPr>
            <a:solidFill>
              <a:srgbClr val="9999FF"/>
            </a:solidFill>
            <a:ln w="12700">
              <a:solidFill>
                <a:srgbClr val="000000"/>
              </a:solidFill>
              <a:prstDash val="solid"/>
            </a:ln>
          </c:spPr>
          <c:dLbls>
            <c:dLbl>
              <c:idx val="0"/>
              <c:spPr>
                <a:noFill/>
                <a:ln w="25400">
                  <a:noFill/>
                </a:ln>
              </c:spPr>
              <c:txPr>
                <a:bodyPr/>
                <a:lstStyle/>
                <a:p>
                  <a:pPr>
                    <a:defRPr sz="700" b="0" i="0" u="none" strike="noStrike" baseline="0">
                      <a:solidFill>
                        <a:srgbClr val="000000"/>
                      </a:solidFill>
                      <a:latin typeface="Arial"/>
                      <a:ea typeface="Arial"/>
                      <a:cs typeface="Arial"/>
                    </a:defRPr>
                  </a:pPr>
                  <a:endParaRPr lang="it-IT"/>
                </a:p>
              </c:txPr>
            </c:dLbl>
            <c:dLbl>
              <c:idx val="2"/>
              <c:layout>
                <c:manualLayout>
                  <c:x val="0"/>
                  <c:y val="-2.3088023088023105E-2"/>
                </c:manualLayout>
              </c:layout>
              <c:spPr>
                <a:noFill/>
                <a:ln w="25400">
                  <a:noFill/>
                </a:ln>
              </c:spPr>
              <c:txPr>
                <a:bodyPr/>
                <a:lstStyle/>
                <a:p>
                  <a:pPr>
                    <a:defRPr sz="700" b="0" i="0" u="none" strike="noStrike" baseline="0">
                      <a:solidFill>
                        <a:srgbClr val="000000"/>
                      </a:solidFill>
                      <a:latin typeface="Arial"/>
                      <a:ea typeface="Arial"/>
                      <a:cs typeface="Arial"/>
                    </a:defRPr>
                  </a:pPr>
                  <a:endParaRPr lang="it-IT"/>
                </a:p>
              </c:txPr>
              <c:showVal val="1"/>
            </c:dLbl>
            <c:dLbl>
              <c:idx val="3"/>
              <c:spPr>
                <a:noFill/>
                <a:ln w="25400">
                  <a:noFill/>
                </a:ln>
              </c:spPr>
              <c:txPr>
                <a:bodyPr/>
                <a:lstStyle/>
                <a:p>
                  <a:pPr>
                    <a:defRPr sz="700" b="0" i="0" u="none" strike="noStrike" baseline="0">
                      <a:solidFill>
                        <a:srgbClr val="000000"/>
                      </a:solidFill>
                      <a:latin typeface="Arial"/>
                      <a:ea typeface="Arial"/>
                      <a:cs typeface="Arial"/>
                    </a:defRPr>
                  </a:pPr>
                  <a:endParaRPr lang="it-IT"/>
                </a:p>
              </c:txPr>
            </c:dLbl>
            <c:dLbl>
              <c:idx val="4"/>
              <c:spPr>
                <a:noFill/>
                <a:ln w="25400">
                  <a:noFill/>
                </a:ln>
              </c:spPr>
              <c:txPr>
                <a:bodyPr/>
                <a:lstStyle/>
                <a:p>
                  <a:pPr>
                    <a:defRPr sz="700" b="0" i="0" u="none" strike="noStrike" baseline="0">
                      <a:solidFill>
                        <a:srgbClr val="000000"/>
                      </a:solidFill>
                      <a:latin typeface="Arial"/>
                      <a:ea typeface="Arial"/>
                      <a:cs typeface="Arial"/>
                    </a:defRPr>
                  </a:pPr>
                  <a:endParaRPr lang="it-IT"/>
                </a:p>
              </c:txPr>
            </c:dLbl>
            <c:dLbl>
              <c:idx val="5"/>
              <c:layout>
                <c:manualLayout>
                  <c:x val="8.6400918635170434E-3"/>
                  <c:y val="-8.1700426229604703E-2"/>
                </c:manualLayout>
              </c:layout>
              <c:dLblPos val="outEnd"/>
              <c:showVal val="1"/>
            </c:dLbl>
            <c:dLbl>
              <c:idx val="6"/>
              <c:spPr>
                <a:noFill/>
                <a:ln w="25400">
                  <a:noFill/>
                </a:ln>
              </c:spPr>
              <c:txPr>
                <a:bodyPr/>
                <a:lstStyle/>
                <a:p>
                  <a:pPr>
                    <a:defRPr sz="700" b="0" i="0" u="none" strike="noStrike" baseline="0">
                      <a:solidFill>
                        <a:srgbClr val="000000"/>
                      </a:solidFill>
                      <a:latin typeface="Arial"/>
                      <a:ea typeface="Arial"/>
                      <a:cs typeface="Arial"/>
                    </a:defRPr>
                  </a:pPr>
                  <a:endParaRPr lang="it-IT"/>
                </a:p>
              </c:txPr>
            </c:dLbl>
            <c:spPr>
              <a:noFill/>
              <a:ln w="25400">
                <a:noFill/>
              </a:ln>
            </c:spPr>
            <c:txPr>
              <a:bodyPr/>
              <a:lstStyle/>
              <a:p>
                <a:pPr>
                  <a:defRPr sz="700" b="0" i="0" u="none" strike="noStrike" baseline="0">
                    <a:solidFill>
                      <a:srgbClr val="FF0000"/>
                    </a:solidFill>
                    <a:latin typeface="Arial"/>
                    <a:ea typeface="Arial"/>
                    <a:cs typeface="Arial"/>
                  </a:defRPr>
                </a:pPr>
                <a:endParaRPr lang="it-IT"/>
              </a:p>
            </c:txPr>
            <c:showVal val="1"/>
          </c:dLbls>
          <c:cat>
            <c:strRef>
              <c:f>'Var.% annue'!$C$6:$I$6</c:f>
              <c:strCache>
                <c:ptCount val="7"/>
                <c:pt idx="0">
                  <c:v>3° Trim. '08-'07</c:v>
                </c:pt>
                <c:pt idx="1">
                  <c:v>3° Trim. '09-'08</c:v>
                </c:pt>
                <c:pt idx="2">
                  <c:v>3° Trim. '10-'09</c:v>
                </c:pt>
                <c:pt idx="3">
                  <c:v>3° Trim. '11-'10</c:v>
                </c:pt>
                <c:pt idx="4">
                  <c:v>3° Trim. '12-'11</c:v>
                </c:pt>
                <c:pt idx="5">
                  <c:v>3° Trim. '13-'12</c:v>
                </c:pt>
                <c:pt idx="6">
                  <c:v>3° Trim. '14-'13</c:v>
                </c:pt>
              </c:strCache>
            </c:strRef>
          </c:cat>
          <c:val>
            <c:numRef>
              <c:f>'Var.% annue'!$C$7:$I$7</c:f>
              <c:numCache>
                <c:formatCode>0.0%</c:formatCode>
                <c:ptCount val="7"/>
                <c:pt idx="0">
                  <c:v>8.4225917316058635E-2</c:v>
                </c:pt>
                <c:pt idx="1">
                  <c:v>-0.28325200007984896</c:v>
                </c:pt>
                <c:pt idx="2">
                  <c:v>0.25204008832120955</c:v>
                </c:pt>
                <c:pt idx="3">
                  <c:v>0.21600404970686174</c:v>
                </c:pt>
                <c:pt idx="4">
                  <c:v>3.098465927025958E-2</c:v>
                </c:pt>
                <c:pt idx="5">
                  <c:v>-1.9780235514427869E-2</c:v>
                </c:pt>
                <c:pt idx="6">
                  <c:v>1.8971662930066868E-2</c:v>
                </c:pt>
              </c:numCache>
            </c:numRef>
          </c:val>
        </c:ser>
        <c:axId val="71882240"/>
        <c:axId val="71883776"/>
      </c:barChart>
      <c:catAx>
        <c:axId val="71882240"/>
        <c:scaling>
          <c:orientation val="minMax"/>
        </c:scaling>
        <c:axPos val="b"/>
        <c:numFmt formatCode="General" sourceLinked="1"/>
        <c:tickLblPos val="low"/>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it-IT"/>
          </a:p>
        </c:txPr>
        <c:crossAx val="71883776"/>
        <c:crosses val="autoZero"/>
        <c:auto val="1"/>
        <c:lblAlgn val="ctr"/>
        <c:lblOffset val="100"/>
        <c:tickLblSkip val="1"/>
        <c:tickMarkSkip val="1"/>
      </c:catAx>
      <c:valAx>
        <c:axId val="71883776"/>
        <c:scaling>
          <c:orientation val="minMax"/>
          <c:max val="0.4"/>
          <c:min val="-0.4"/>
        </c:scaling>
        <c:axPos val="l"/>
        <c:numFmt formatCode="0.0%" sourceLinked="1"/>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it-IT"/>
          </a:p>
        </c:txPr>
        <c:crossAx val="71882240"/>
        <c:crosses val="autoZero"/>
        <c:crossBetween val="between"/>
      </c:valAx>
      <c:spPr>
        <a:no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475" b="0" i="0" u="none" strike="noStrike" baseline="0">
          <a:solidFill>
            <a:srgbClr val="000000"/>
          </a:solidFill>
          <a:latin typeface="Arial"/>
          <a:ea typeface="Arial"/>
          <a:cs typeface="Arial"/>
        </a:defRPr>
      </a:pPr>
      <a:endParaRPr lang="it-IT"/>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it-IT"/>
  <c:chart>
    <c:title>
      <c:tx>
        <c:rich>
          <a:bodyPr/>
          <a:lstStyle/>
          <a:p>
            <a:pPr>
              <a:defRPr sz="800" b="1" i="0" u="none" strike="noStrike" baseline="0">
                <a:solidFill>
                  <a:srgbClr val="000000"/>
                </a:solidFill>
                <a:latin typeface="Arial"/>
                <a:ea typeface="Arial"/>
                <a:cs typeface="Arial"/>
              </a:defRPr>
            </a:pPr>
            <a:r>
              <a:rPr lang="it-IT"/>
              <a:t>Confronti territoriali - Var. % Export 1° trim. '14-'13</a:t>
            </a:r>
          </a:p>
        </c:rich>
      </c:tx>
      <c:layout>
        <c:manualLayout>
          <c:xMode val="edge"/>
          <c:yMode val="edge"/>
          <c:x val="0.15141955835962156"/>
          <c:y val="2.4038517969026962E-2"/>
        </c:manualLayout>
      </c:layout>
      <c:spPr>
        <a:noFill/>
        <a:ln w="25400">
          <a:noFill/>
        </a:ln>
      </c:spPr>
    </c:title>
    <c:plotArea>
      <c:layout>
        <c:manualLayout>
          <c:layoutTarget val="inner"/>
          <c:xMode val="edge"/>
          <c:yMode val="edge"/>
          <c:x val="0.13564668769716101"/>
          <c:y val="0.1538465150017724"/>
          <c:w val="0.81072555205047414"/>
          <c:h val="0.72115553907080843"/>
        </c:manualLayout>
      </c:layout>
      <c:barChart>
        <c:barDir val="bar"/>
        <c:grouping val="clustered"/>
        <c:ser>
          <c:idx val="0"/>
          <c:order val="0"/>
          <c:spPr>
            <a:solidFill>
              <a:srgbClr val="9999FF"/>
            </a:solidFill>
            <a:ln w="12700">
              <a:solidFill>
                <a:srgbClr val="000000"/>
              </a:solidFill>
              <a:prstDash val="solid"/>
            </a:ln>
          </c:spPr>
          <c:dPt>
            <c:idx val="8"/>
            <c:spPr>
              <a:solidFill>
                <a:srgbClr val="FF0000"/>
              </a:solidFill>
              <a:ln w="12700">
                <a:solidFill>
                  <a:srgbClr val="000000"/>
                </a:solidFill>
                <a:prstDash val="solid"/>
              </a:ln>
            </c:spPr>
          </c:dPt>
          <c:dLbls>
            <c:dLbl>
              <c:idx val="7"/>
              <c:layout>
                <c:manualLayout>
                  <c:x val="-0.16418041240779871"/>
                  <c:y val="4.4123251716823107E-3"/>
                </c:manualLayout>
              </c:layout>
              <c:dLblPos val="outEnd"/>
              <c:showVal val="1"/>
            </c:dLbl>
            <c:dLbl>
              <c:idx val="8"/>
              <c:spPr>
                <a:noFill/>
                <a:ln w="25400">
                  <a:noFill/>
                </a:ln>
              </c:spPr>
              <c:txPr>
                <a:bodyPr/>
                <a:lstStyle/>
                <a:p>
                  <a:pPr>
                    <a:defRPr sz="700" b="0" i="0" u="none" strike="noStrike" baseline="0">
                      <a:solidFill>
                        <a:srgbClr val="FF0000"/>
                      </a:solidFill>
                      <a:latin typeface="Arial"/>
                      <a:ea typeface="Arial"/>
                      <a:cs typeface="Arial"/>
                    </a:defRPr>
                  </a:pPr>
                  <a:endParaRPr lang="it-IT"/>
                </a:p>
              </c:txPr>
            </c:dLbl>
            <c:spPr>
              <a:noFill/>
              <a:ln w="25400">
                <a:noFill/>
              </a:ln>
            </c:spPr>
            <c:txPr>
              <a:bodyPr/>
              <a:lstStyle/>
              <a:p>
                <a:pPr>
                  <a:defRPr sz="700" b="0" i="0" u="none" strike="noStrike" baseline="0">
                    <a:solidFill>
                      <a:srgbClr val="000000"/>
                    </a:solidFill>
                    <a:latin typeface="Arial"/>
                    <a:ea typeface="Arial"/>
                    <a:cs typeface="Arial"/>
                  </a:defRPr>
                </a:pPr>
                <a:endParaRPr lang="it-IT"/>
              </a:p>
            </c:txPr>
            <c:showVal val="1"/>
          </c:dLbls>
          <c:cat>
            <c:strRef>
              <c:f>'Confronti terr.'!$A$4:$A$14</c:f>
              <c:strCache>
                <c:ptCount val="11"/>
                <c:pt idx="0">
                  <c:v>Piacenza</c:v>
                </c:pt>
                <c:pt idx="1">
                  <c:v>Parma</c:v>
                </c:pt>
                <c:pt idx="2">
                  <c:v>Reggio Emilia</c:v>
                </c:pt>
                <c:pt idx="3">
                  <c:v>Modena</c:v>
                </c:pt>
                <c:pt idx="4">
                  <c:v>Bologna</c:v>
                </c:pt>
                <c:pt idx="5">
                  <c:v>Ferrara</c:v>
                </c:pt>
                <c:pt idx="6">
                  <c:v>Ravenna</c:v>
                </c:pt>
                <c:pt idx="7">
                  <c:v>Forlì-Cesena</c:v>
                </c:pt>
                <c:pt idx="8">
                  <c:v>Rimini</c:v>
                </c:pt>
                <c:pt idx="9">
                  <c:v>  Emilia-Romagna</c:v>
                </c:pt>
                <c:pt idx="10">
                  <c:v>ITALIA</c:v>
                </c:pt>
              </c:strCache>
            </c:strRef>
          </c:cat>
          <c:val>
            <c:numRef>
              <c:f>'Confronti terr.'!$D$4:$D$14</c:f>
              <c:numCache>
                <c:formatCode>0.0%</c:formatCode>
                <c:ptCount val="11"/>
                <c:pt idx="0">
                  <c:v>7.3950933484707534E-2</c:v>
                </c:pt>
                <c:pt idx="1">
                  <c:v>2.4338624445682522E-2</c:v>
                </c:pt>
                <c:pt idx="2">
                  <c:v>4.2443562914750481E-2</c:v>
                </c:pt>
                <c:pt idx="3">
                  <c:v>6.0750071393897195E-2</c:v>
                </c:pt>
                <c:pt idx="4">
                  <c:v>4.2946257839728434E-2</c:v>
                </c:pt>
                <c:pt idx="5">
                  <c:v>8.9812157936535006E-2</c:v>
                </c:pt>
                <c:pt idx="6">
                  <c:v>6.9278783134891723E-3</c:v>
                </c:pt>
                <c:pt idx="7">
                  <c:v>-5.395218598171268E-3</c:v>
                </c:pt>
                <c:pt idx="8">
                  <c:v>1.8971662930066868E-2</c:v>
                </c:pt>
                <c:pt idx="9">
                  <c:v>4.2295143784533452E-2</c:v>
                </c:pt>
                <c:pt idx="10">
                  <c:v>1.4276192790374845E-2</c:v>
                </c:pt>
              </c:numCache>
            </c:numRef>
          </c:val>
        </c:ser>
        <c:axId val="68955520"/>
        <c:axId val="68973696"/>
      </c:barChart>
      <c:catAx>
        <c:axId val="68955520"/>
        <c:scaling>
          <c:orientation val="minMax"/>
        </c:scaling>
        <c:axPos val="l"/>
        <c:numFmt formatCode="General" sourceLinked="1"/>
        <c:tickLblPos val="low"/>
        <c:spPr>
          <a:ln w="3175">
            <a:solidFill>
              <a:srgbClr val="000000"/>
            </a:solidFill>
            <a:prstDash val="solid"/>
          </a:ln>
        </c:spPr>
        <c:txPr>
          <a:bodyPr rot="0" vert="horz"/>
          <a:lstStyle/>
          <a:p>
            <a:pPr>
              <a:defRPr sz="725" b="0" i="0" u="none" strike="noStrike" baseline="0">
                <a:solidFill>
                  <a:srgbClr val="000000"/>
                </a:solidFill>
                <a:latin typeface="Arial"/>
                <a:ea typeface="Arial"/>
                <a:cs typeface="Arial"/>
              </a:defRPr>
            </a:pPr>
            <a:endParaRPr lang="it-IT"/>
          </a:p>
        </c:txPr>
        <c:crossAx val="68973696"/>
        <c:crosses val="autoZero"/>
        <c:auto val="1"/>
        <c:lblAlgn val="ctr"/>
        <c:lblOffset val="100"/>
        <c:tickLblSkip val="1"/>
        <c:tickMarkSkip val="1"/>
      </c:catAx>
      <c:valAx>
        <c:axId val="68973696"/>
        <c:scaling>
          <c:orientation val="minMax"/>
          <c:min val="-1.0000000000000005E-2"/>
        </c:scaling>
        <c:axPos val="b"/>
        <c:numFmt formatCode="0.0%" sourceLinked="1"/>
        <c:tickLblPos val="nextTo"/>
        <c:spPr>
          <a:ln w="3175">
            <a:solidFill>
              <a:srgbClr val="000000"/>
            </a:solidFill>
            <a:prstDash val="solid"/>
          </a:ln>
        </c:spPr>
        <c:txPr>
          <a:bodyPr rot="0" vert="horz"/>
          <a:lstStyle/>
          <a:p>
            <a:pPr>
              <a:defRPr sz="725" b="0" i="0" u="none" strike="noStrike" baseline="0">
                <a:solidFill>
                  <a:srgbClr val="000000"/>
                </a:solidFill>
                <a:latin typeface="Arial"/>
                <a:ea typeface="Arial"/>
                <a:cs typeface="Arial"/>
              </a:defRPr>
            </a:pPr>
            <a:endParaRPr lang="it-IT"/>
          </a:p>
        </c:txPr>
        <c:crossAx val="68955520"/>
        <c:crosses val="autoZero"/>
        <c:crossBetween val="between"/>
      </c:valAx>
      <c:spPr>
        <a:no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475" b="0" i="0" u="none" strike="noStrike" baseline="0">
          <a:solidFill>
            <a:srgbClr val="000000"/>
          </a:solidFill>
          <a:latin typeface="Arial"/>
          <a:ea typeface="Arial"/>
          <a:cs typeface="Arial"/>
        </a:defRPr>
      </a:pPr>
      <a:endParaRPr lang="it-IT"/>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73E-2"/>
          <c:y val="1.5873015873015879E-2"/>
          <c:w val="0.97453703703703709"/>
          <c:h val="0.96428571428571463"/>
        </c:manualLayout>
      </c:layout>
      <c:barChart>
        <c:barDir val="bar"/>
        <c:grouping val="clustered"/>
        <c:ser>
          <c:idx val="0"/>
          <c:order val="0"/>
          <c:tx>
            <c:strRef>
              <c:f>Foglio1!$B$1</c:f>
              <c:strCache>
                <c:ptCount val="1"/>
                <c:pt idx="0">
                  <c:v>Italia</c:v>
                </c:pt>
              </c:strCache>
            </c:strRef>
          </c:tx>
          <c:spPr>
            <a:ln>
              <a:solidFill>
                <a:schemeClr val="tx1"/>
              </a:solidFill>
            </a:ln>
          </c:spPr>
          <c:dPt>
            <c:idx val="0"/>
            <c:spPr>
              <a:solidFill>
                <a:srgbClr val="FFCC99"/>
              </a:solidFill>
              <a:ln>
                <a:solidFill>
                  <a:schemeClr val="tx1"/>
                </a:solidFill>
              </a:ln>
            </c:spPr>
          </c:dPt>
          <c:dPt>
            <c:idx val="1"/>
            <c:spPr>
              <a:solidFill>
                <a:srgbClr val="99FF99"/>
              </a:solidFill>
              <a:ln>
                <a:solidFill>
                  <a:schemeClr val="tx1"/>
                </a:solidFill>
              </a:ln>
            </c:spPr>
          </c:dPt>
          <c:dPt>
            <c:idx val="2"/>
            <c:spPr>
              <a:solidFill>
                <a:srgbClr val="99CC00"/>
              </a:solidFill>
              <a:ln>
                <a:solidFill>
                  <a:schemeClr val="tx1"/>
                </a:solidFill>
              </a:ln>
            </c:spPr>
          </c:dPt>
          <c:dPt>
            <c:idx val="3"/>
            <c:spPr>
              <a:solidFill>
                <a:srgbClr val="FFFF99"/>
              </a:solidFill>
              <a:ln>
                <a:solidFill>
                  <a:schemeClr val="tx1"/>
                </a:solidFill>
              </a:ln>
            </c:spPr>
          </c:dPt>
          <c:dPt>
            <c:idx val="4"/>
            <c:spPr>
              <a:solidFill>
                <a:srgbClr val="B7DEE8"/>
              </a:solidFill>
              <a:ln>
                <a:solidFill>
                  <a:schemeClr val="tx1"/>
                </a:solidFill>
              </a:ln>
            </c:spPr>
          </c:dPt>
          <c:dLbls>
            <c:showVal val="1"/>
          </c:dLbls>
          <c:cat>
            <c:strRef>
              <c:f>Foglio1!$A$2:$A$6</c:f>
              <c:strCache>
                <c:ptCount val="5"/>
                <c:pt idx="0">
                  <c:v>Fatturato (1)</c:v>
                </c:pt>
                <c:pt idx="1">
                  <c:v>Fatturato estero (1)</c:v>
                </c:pt>
                <c:pt idx="2">
                  <c:v>Produzione (1)</c:v>
                </c:pt>
                <c:pt idx="3">
                  <c:v>Ordini (1)</c:v>
                </c:pt>
                <c:pt idx="4">
                  <c:v>Ordini esteri (1)</c:v>
                </c:pt>
              </c:strCache>
            </c:strRef>
          </c:cat>
          <c:val>
            <c:numRef>
              <c:f>Foglio1!$B$2:$B$6</c:f>
              <c:numCache>
                <c:formatCode>0.0;[Red]\-0.0</c:formatCode>
                <c:ptCount val="5"/>
                <c:pt idx="0">
                  <c:v>-0.53800000000000003</c:v>
                </c:pt>
                <c:pt idx="1">
                  <c:v>3.4379999999999997</c:v>
                </c:pt>
                <c:pt idx="2">
                  <c:v>-0.80500000000000005</c:v>
                </c:pt>
                <c:pt idx="3">
                  <c:v>-0.78700000000000003</c:v>
                </c:pt>
                <c:pt idx="4">
                  <c:v>2.5640000000000001</c:v>
                </c:pt>
              </c:numCache>
            </c:numRef>
          </c:val>
        </c:ser>
        <c:gapWidth val="75"/>
        <c:axId val="69496192"/>
        <c:axId val="69497984"/>
      </c:barChart>
      <c:catAx>
        <c:axId val="69496192"/>
        <c:scaling>
          <c:orientation val="maxMin"/>
        </c:scaling>
        <c:axPos val="l"/>
        <c:tickLblPos val="none"/>
        <c:crossAx val="69497984"/>
        <c:crosses val="autoZero"/>
        <c:auto val="1"/>
        <c:lblAlgn val="ctr"/>
        <c:lblOffset val="100"/>
      </c:catAx>
      <c:valAx>
        <c:axId val="69497984"/>
        <c:scaling>
          <c:orientation val="minMax"/>
          <c:max val="12"/>
          <c:min val="-12"/>
        </c:scaling>
        <c:axPos val="t"/>
        <c:numFmt formatCode="0.0;[Red]\-0.0" sourceLinked="1"/>
        <c:tickLblPos val="none"/>
        <c:spPr>
          <a:ln>
            <a:solidFill>
              <a:schemeClr val="bg1"/>
            </a:solidFill>
          </a:ln>
        </c:spPr>
        <c:crossAx val="69496192"/>
        <c:crosses val="autoZero"/>
        <c:crossBetween val="between"/>
        <c:majorUnit val="1"/>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73E-2"/>
          <c:y val="1.5873015873015879E-2"/>
          <c:w val="0.97453703703703709"/>
          <c:h val="0.96428571428571463"/>
        </c:manualLayout>
      </c:layout>
      <c:barChart>
        <c:barDir val="bar"/>
        <c:grouping val="clustered"/>
        <c:ser>
          <c:idx val="0"/>
          <c:order val="0"/>
          <c:tx>
            <c:strRef>
              <c:f>Foglio1!$B$1</c:f>
              <c:strCache>
                <c:ptCount val="1"/>
                <c:pt idx="0">
                  <c:v>Rimini</c:v>
                </c:pt>
              </c:strCache>
            </c:strRef>
          </c:tx>
          <c:spPr>
            <a:solidFill>
              <a:srgbClr val="99CC00"/>
            </a:solidFill>
            <a:ln>
              <a:solidFill>
                <a:schemeClr val="tx1"/>
              </a:solidFill>
            </a:ln>
          </c:spPr>
          <c:dLbls>
            <c:dLbl>
              <c:idx val="0"/>
              <c:layout>
                <c:manualLayout>
                  <c:x val="-6.4141414141417018E-3"/>
                  <c:y val="4.9768595624282423E-2"/>
                </c:manualLayout>
              </c:layout>
              <c:showVal val="1"/>
            </c:dLbl>
            <c:showVal val="1"/>
          </c:dLbls>
          <c:cat>
            <c:strRef>
              <c:f>Foglio1!$A$2</c:f>
              <c:strCache>
                <c:ptCount val="1"/>
                <c:pt idx="0">
                  <c:v>Produzione (1)</c:v>
                </c:pt>
              </c:strCache>
            </c:strRef>
          </c:cat>
          <c:val>
            <c:numRef>
              <c:f>Foglio1!$B$2</c:f>
              <c:numCache>
                <c:formatCode>0.0;[Red]\-0.0</c:formatCode>
                <c:ptCount val="1"/>
                <c:pt idx="0">
                  <c:v>-3.4559999999999977</c:v>
                </c:pt>
              </c:numCache>
            </c:numRef>
          </c:val>
        </c:ser>
        <c:gapWidth val="75"/>
        <c:axId val="69632768"/>
        <c:axId val="69634304"/>
      </c:barChart>
      <c:catAx>
        <c:axId val="69632768"/>
        <c:scaling>
          <c:orientation val="maxMin"/>
        </c:scaling>
        <c:axPos val="l"/>
        <c:majorTickMark val="none"/>
        <c:tickLblPos val="none"/>
        <c:crossAx val="69634304"/>
        <c:crosses val="autoZero"/>
        <c:auto val="1"/>
        <c:lblAlgn val="ctr"/>
        <c:lblOffset val="100"/>
      </c:catAx>
      <c:valAx>
        <c:axId val="69634304"/>
        <c:scaling>
          <c:orientation val="minMax"/>
          <c:max val="12"/>
          <c:min val="-12"/>
        </c:scaling>
        <c:axPos val="t"/>
        <c:numFmt formatCode="0.0;[Red]\-0.0" sourceLinked="1"/>
        <c:tickLblPos val="none"/>
        <c:spPr>
          <a:ln>
            <a:solidFill>
              <a:schemeClr val="bg1"/>
            </a:solidFill>
          </a:ln>
        </c:spPr>
        <c:crossAx val="69632768"/>
        <c:crosses val="autoZero"/>
        <c:crossBetween val="between"/>
        <c:majorUnit val="1"/>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73E-2"/>
          <c:y val="1.5873015873015879E-2"/>
          <c:w val="0.97453703703703709"/>
          <c:h val="0.96428571428571463"/>
        </c:manualLayout>
      </c:layout>
      <c:barChart>
        <c:barDir val="bar"/>
        <c:grouping val="clustered"/>
        <c:ser>
          <c:idx val="0"/>
          <c:order val="0"/>
          <c:tx>
            <c:strRef>
              <c:f>Foglio1!$B$1</c:f>
              <c:strCache>
                <c:ptCount val="1"/>
                <c:pt idx="0">
                  <c:v>Emilia-Romagna</c:v>
                </c:pt>
              </c:strCache>
            </c:strRef>
          </c:tx>
          <c:spPr>
            <a:solidFill>
              <a:srgbClr val="A6A6A6"/>
            </a:solidFill>
            <a:ln>
              <a:solidFill>
                <a:schemeClr val="tx1"/>
              </a:solidFill>
            </a:ln>
          </c:spPr>
          <c:dPt>
            <c:idx val="0"/>
            <c:spPr>
              <a:solidFill>
                <a:srgbClr val="99CC00"/>
              </a:solidFill>
              <a:ln>
                <a:solidFill>
                  <a:sysClr val="windowText" lastClr="000000"/>
                </a:solidFill>
              </a:ln>
            </c:spPr>
          </c:dPt>
          <c:dLbls>
            <c:showVal val="1"/>
          </c:dLbls>
          <c:cat>
            <c:strRef>
              <c:f>Foglio1!$A$2</c:f>
              <c:strCache>
                <c:ptCount val="1"/>
                <c:pt idx="0">
                  <c:v>Produzione (1)</c:v>
                </c:pt>
              </c:strCache>
            </c:strRef>
          </c:cat>
          <c:val>
            <c:numRef>
              <c:f>Foglio1!$B$2</c:f>
              <c:numCache>
                <c:formatCode>0.0;[Red]\-0.0</c:formatCode>
                <c:ptCount val="1"/>
                <c:pt idx="0">
                  <c:v>-3.2970000000000002</c:v>
                </c:pt>
              </c:numCache>
            </c:numRef>
          </c:val>
        </c:ser>
        <c:gapWidth val="75"/>
        <c:axId val="69732224"/>
        <c:axId val="69733760"/>
      </c:barChart>
      <c:catAx>
        <c:axId val="69732224"/>
        <c:scaling>
          <c:orientation val="maxMin"/>
        </c:scaling>
        <c:axPos val="l"/>
        <c:majorTickMark val="none"/>
        <c:tickLblPos val="none"/>
        <c:crossAx val="69733760"/>
        <c:crosses val="autoZero"/>
        <c:auto val="1"/>
        <c:lblAlgn val="ctr"/>
        <c:lblOffset val="100"/>
      </c:catAx>
      <c:valAx>
        <c:axId val="69733760"/>
        <c:scaling>
          <c:orientation val="minMax"/>
          <c:max val="12"/>
          <c:min val="-12"/>
        </c:scaling>
        <c:axPos val="t"/>
        <c:numFmt formatCode="0.0;[Red]\-0.0" sourceLinked="1"/>
        <c:tickLblPos val="none"/>
        <c:spPr>
          <a:ln>
            <a:solidFill>
              <a:schemeClr val="bg1"/>
            </a:solidFill>
          </a:ln>
        </c:spPr>
        <c:crossAx val="69732224"/>
        <c:crosses val="autoZero"/>
        <c:crossBetween val="between"/>
        <c:majorUnit val="1"/>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73E-2"/>
          <c:y val="1.5873015873015879E-2"/>
          <c:w val="0.97453703703703709"/>
          <c:h val="0.96428571428571463"/>
        </c:manualLayout>
      </c:layout>
      <c:barChart>
        <c:barDir val="bar"/>
        <c:grouping val="clustered"/>
        <c:ser>
          <c:idx val="0"/>
          <c:order val="0"/>
          <c:tx>
            <c:strRef>
              <c:f>Foglio1!$B$1</c:f>
              <c:strCache>
                <c:ptCount val="1"/>
                <c:pt idx="0">
                  <c:v>Rimini</c:v>
                </c:pt>
              </c:strCache>
            </c:strRef>
          </c:tx>
          <c:spPr>
            <a:solidFill>
              <a:srgbClr val="FFCC99"/>
            </a:solidFill>
            <a:ln>
              <a:solidFill>
                <a:schemeClr val="tx1"/>
              </a:solidFill>
            </a:ln>
          </c:spPr>
          <c:dLbls>
            <c:dLbl>
              <c:idx val="0"/>
              <c:layout>
                <c:manualLayout>
                  <c:x val="-6.4141414141416818E-3"/>
                  <c:y val="4.9768595624282423E-2"/>
                </c:manualLayout>
              </c:layout>
              <c:showVal val="1"/>
            </c:dLbl>
            <c:showVal val="1"/>
          </c:dLbls>
          <c:cat>
            <c:strRef>
              <c:f>Foglio1!$A$2</c:f>
              <c:strCache>
                <c:ptCount val="1"/>
                <c:pt idx="0">
                  <c:v>Volume d'affari</c:v>
                </c:pt>
              </c:strCache>
            </c:strRef>
          </c:cat>
          <c:val>
            <c:numRef>
              <c:f>Foglio1!$B$2</c:f>
              <c:numCache>
                <c:formatCode>0.0;[Red]\-0.0</c:formatCode>
                <c:ptCount val="1"/>
                <c:pt idx="0">
                  <c:v>-6.4649999999999945</c:v>
                </c:pt>
              </c:numCache>
            </c:numRef>
          </c:val>
        </c:ser>
        <c:gapWidth val="75"/>
        <c:axId val="69785856"/>
        <c:axId val="69791744"/>
      </c:barChart>
      <c:catAx>
        <c:axId val="69785856"/>
        <c:scaling>
          <c:orientation val="maxMin"/>
        </c:scaling>
        <c:axPos val="l"/>
        <c:majorTickMark val="none"/>
        <c:tickLblPos val="none"/>
        <c:crossAx val="69791744"/>
        <c:crosses val="autoZero"/>
        <c:auto val="1"/>
        <c:lblAlgn val="ctr"/>
        <c:lblOffset val="100"/>
      </c:catAx>
      <c:valAx>
        <c:axId val="69791744"/>
        <c:scaling>
          <c:orientation val="minMax"/>
          <c:max val="12"/>
          <c:min val="-12"/>
        </c:scaling>
        <c:axPos val="t"/>
        <c:numFmt formatCode="0.0;[Red]\-0.0" sourceLinked="1"/>
        <c:tickLblPos val="none"/>
        <c:spPr>
          <a:ln>
            <a:solidFill>
              <a:schemeClr val="bg1"/>
            </a:solidFill>
          </a:ln>
        </c:spPr>
        <c:crossAx val="69785856"/>
        <c:crosses val="autoZero"/>
        <c:crossBetween val="between"/>
        <c:majorUnit val="1"/>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73E-2"/>
          <c:y val="1.5873015873015879E-2"/>
          <c:w val="0.97453703703703709"/>
          <c:h val="0.96428571428571463"/>
        </c:manualLayout>
      </c:layout>
      <c:barChart>
        <c:barDir val="bar"/>
        <c:grouping val="clustered"/>
        <c:ser>
          <c:idx val="0"/>
          <c:order val="0"/>
          <c:tx>
            <c:strRef>
              <c:f>Foglio1!$B$1</c:f>
              <c:strCache>
                <c:ptCount val="1"/>
                <c:pt idx="0">
                  <c:v>Emilia-Romagna</c:v>
                </c:pt>
              </c:strCache>
            </c:strRef>
          </c:tx>
          <c:spPr>
            <a:solidFill>
              <a:srgbClr val="FFCC99"/>
            </a:solidFill>
            <a:ln>
              <a:solidFill>
                <a:schemeClr val="tx1"/>
              </a:solidFill>
            </a:ln>
          </c:spPr>
          <c:dLbls>
            <c:dLbl>
              <c:idx val="0"/>
              <c:layout>
                <c:manualLayout>
                  <c:x val="-6.4141414141416601E-3"/>
                  <c:y val="4.9768595624282423E-2"/>
                </c:manualLayout>
              </c:layout>
              <c:showVal val="1"/>
            </c:dLbl>
            <c:showVal val="1"/>
          </c:dLbls>
          <c:cat>
            <c:strRef>
              <c:f>Foglio1!$A$2</c:f>
              <c:strCache>
                <c:ptCount val="1"/>
                <c:pt idx="0">
                  <c:v>Volume d'affari</c:v>
                </c:pt>
              </c:strCache>
            </c:strRef>
          </c:cat>
          <c:val>
            <c:numRef>
              <c:f>Foglio1!$B$2</c:f>
              <c:numCache>
                <c:formatCode>0.0;[Red]\-0.0</c:formatCode>
                <c:ptCount val="1"/>
                <c:pt idx="0">
                  <c:v>-6.6719999999999997</c:v>
                </c:pt>
              </c:numCache>
            </c:numRef>
          </c:val>
        </c:ser>
        <c:gapWidth val="75"/>
        <c:axId val="69929984"/>
        <c:axId val="69964544"/>
      </c:barChart>
      <c:catAx>
        <c:axId val="69929984"/>
        <c:scaling>
          <c:orientation val="maxMin"/>
        </c:scaling>
        <c:axPos val="l"/>
        <c:majorTickMark val="none"/>
        <c:tickLblPos val="none"/>
        <c:crossAx val="69964544"/>
        <c:crosses val="autoZero"/>
        <c:auto val="1"/>
        <c:lblAlgn val="ctr"/>
        <c:lblOffset val="100"/>
      </c:catAx>
      <c:valAx>
        <c:axId val="69964544"/>
        <c:scaling>
          <c:orientation val="minMax"/>
          <c:max val="12"/>
          <c:min val="-12"/>
        </c:scaling>
        <c:axPos val="t"/>
        <c:numFmt formatCode="0.0;[Red]\-0.0" sourceLinked="1"/>
        <c:tickLblPos val="none"/>
        <c:spPr>
          <a:ln>
            <a:solidFill>
              <a:schemeClr val="bg1"/>
            </a:solidFill>
          </a:ln>
        </c:spPr>
        <c:crossAx val="69929984"/>
        <c:crosses val="autoZero"/>
        <c:crossBetween val="between"/>
        <c:majorUnit val="1"/>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73E-2"/>
          <c:y val="1.5873015873015879E-2"/>
          <c:w val="0.97453703703703709"/>
          <c:h val="0.96428571428571463"/>
        </c:manualLayout>
      </c:layout>
      <c:barChart>
        <c:barDir val="bar"/>
        <c:grouping val="clustered"/>
        <c:ser>
          <c:idx val="0"/>
          <c:order val="0"/>
          <c:tx>
            <c:strRef>
              <c:f>Foglio1!$B$1</c:f>
              <c:strCache>
                <c:ptCount val="1"/>
                <c:pt idx="0">
                  <c:v>Rimini</c:v>
                </c:pt>
              </c:strCache>
            </c:strRef>
          </c:tx>
          <c:spPr>
            <a:solidFill>
              <a:srgbClr val="FFCC99"/>
            </a:solidFill>
            <a:ln>
              <a:solidFill>
                <a:schemeClr val="tx1"/>
              </a:solidFill>
            </a:ln>
          </c:spPr>
          <c:dLbls>
            <c:dLbl>
              <c:idx val="0"/>
              <c:layout>
                <c:manualLayout>
                  <c:x val="-6.4141414141417018E-3"/>
                  <c:y val="4.9768595624282423E-2"/>
                </c:manualLayout>
              </c:layout>
              <c:showVal val="1"/>
            </c:dLbl>
            <c:showVal val="1"/>
          </c:dLbls>
          <c:cat>
            <c:strRef>
              <c:f>Foglio1!$A$2</c:f>
              <c:strCache>
                <c:ptCount val="1"/>
                <c:pt idx="0">
                  <c:v>Volume d'affari</c:v>
                </c:pt>
              </c:strCache>
            </c:strRef>
          </c:cat>
          <c:val>
            <c:numRef>
              <c:f>Foglio1!$B$2</c:f>
              <c:numCache>
                <c:formatCode>0.0;[Red]\-0.0</c:formatCode>
                <c:ptCount val="1"/>
                <c:pt idx="0">
                  <c:v>-6.6209999999999933</c:v>
                </c:pt>
              </c:numCache>
            </c:numRef>
          </c:val>
        </c:ser>
        <c:gapWidth val="75"/>
        <c:axId val="70094848"/>
        <c:axId val="70096384"/>
      </c:barChart>
      <c:catAx>
        <c:axId val="70094848"/>
        <c:scaling>
          <c:orientation val="maxMin"/>
        </c:scaling>
        <c:axPos val="l"/>
        <c:majorTickMark val="none"/>
        <c:tickLblPos val="none"/>
        <c:crossAx val="70096384"/>
        <c:crosses val="autoZero"/>
        <c:auto val="1"/>
        <c:lblAlgn val="ctr"/>
        <c:lblOffset val="100"/>
      </c:catAx>
      <c:valAx>
        <c:axId val="70096384"/>
        <c:scaling>
          <c:orientation val="minMax"/>
          <c:max val="12"/>
          <c:min val="-12"/>
        </c:scaling>
        <c:axPos val="t"/>
        <c:numFmt formatCode="0.0;[Red]\-0.0" sourceLinked="1"/>
        <c:tickLblPos val="none"/>
        <c:spPr>
          <a:ln>
            <a:solidFill>
              <a:schemeClr val="bg1"/>
            </a:solidFill>
          </a:ln>
        </c:spPr>
        <c:crossAx val="70094848"/>
        <c:crosses val="autoZero"/>
        <c:crossBetween val="between"/>
        <c:majorUnit val="1"/>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1.1574074074074073E-2"/>
          <c:y val="1.5873015873015879E-2"/>
          <c:w val="0.97453703703703709"/>
          <c:h val="0.96428571428571463"/>
        </c:manualLayout>
      </c:layout>
      <c:barChart>
        <c:barDir val="bar"/>
        <c:grouping val="clustered"/>
        <c:ser>
          <c:idx val="0"/>
          <c:order val="0"/>
          <c:tx>
            <c:strRef>
              <c:f>Foglio1!$B$1</c:f>
              <c:strCache>
                <c:ptCount val="1"/>
                <c:pt idx="0">
                  <c:v>Emilia-Romagna</c:v>
                </c:pt>
              </c:strCache>
            </c:strRef>
          </c:tx>
          <c:spPr>
            <a:solidFill>
              <a:srgbClr val="FFCC99"/>
            </a:solidFill>
            <a:ln>
              <a:solidFill>
                <a:schemeClr val="tx1"/>
              </a:solidFill>
            </a:ln>
          </c:spPr>
          <c:dLbls>
            <c:dLbl>
              <c:idx val="0"/>
              <c:layout>
                <c:manualLayout>
                  <c:x val="-6.414141414141687E-3"/>
                  <c:y val="4.9768595624282423E-2"/>
                </c:manualLayout>
              </c:layout>
              <c:showVal val="1"/>
            </c:dLbl>
            <c:showVal val="1"/>
          </c:dLbls>
          <c:cat>
            <c:strRef>
              <c:f>Foglio1!$A$2</c:f>
              <c:strCache>
                <c:ptCount val="1"/>
                <c:pt idx="0">
                  <c:v>Volume d'affari</c:v>
                </c:pt>
              </c:strCache>
            </c:strRef>
          </c:cat>
          <c:val>
            <c:numRef>
              <c:f>Foglio1!$B$2</c:f>
              <c:numCache>
                <c:formatCode>0.0;[Red]\-0.0</c:formatCode>
                <c:ptCount val="1"/>
                <c:pt idx="0">
                  <c:v>-4.9660000000000002</c:v>
                </c:pt>
              </c:numCache>
            </c:numRef>
          </c:val>
        </c:ser>
        <c:gapWidth val="75"/>
        <c:axId val="70193920"/>
        <c:axId val="70195456"/>
      </c:barChart>
      <c:catAx>
        <c:axId val="70193920"/>
        <c:scaling>
          <c:orientation val="maxMin"/>
        </c:scaling>
        <c:axPos val="l"/>
        <c:majorTickMark val="none"/>
        <c:tickLblPos val="none"/>
        <c:crossAx val="70195456"/>
        <c:crosses val="autoZero"/>
        <c:auto val="1"/>
        <c:lblAlgn val="ctr"/>
        <c:lblOffset val="100"/>
      </c:catAx>
      <c:valAx>
        <c:axId val="70195456"/>
        <c:scaling>
          <c:orientation val="minMax"/>
          <c:max val="12"/>
          <c:min val="-12"/>
        </c:scaling>
        <c:axPos val="t"/>
        <c:numFmt formatCode="0.0;[Red]\-0.0" sourceLinked="1"/>
        <c:tickLblPos val="none"/>
        <c:spPr>
          <a:ln>
            <a:solidFill>
              <a:schemeClr val="bg1"/>
            </a:solidFill>
          </a:ln>
        </c:spPr>
        <c:crossAx val="70193920"/>
        <c:crosses val="autoZero"/>
        <c:crossBetween val="between"/>
        <c:majorUnit val="1"/>
      </c:valAx>
      <c:spPr>
        <a:ln>
          <a:noFill/>
        </a:ln>
      </c:spPr>
    </c:plotArea>
    <c:plotVisOnly val="1"/>
  </c:chart>
  <c:spPr>
    <a:ln>
      <a:noFill/>
    </a:ln>
  </c:spPr>
  <c:txPr>
    <a:bodyPr/>
    <a:lstStyle/>
    <a:p>
      <a:pPr>
        <a:defRPr sz="800">
          <a:latin typeface="Arial" pitchFamily="34" charset="0"/>
          <a:cs typeface="Arial" pitchFamily="34" charset="0"/>
        </a:defRPr>
      </a:pPr>
      <a:endParaRPr lang="it-IT"/>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9547D-8CB4-4027-8ECE-D34DF350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studi_ricerche</Template>
  <TotalTime>52</TotalTime>
  <Pages>20</Pages>
  <Words>4270</Words>
  <Characters>24986</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Mauro Guaitoli</dc:creator>
  <cp:keywords/>
  <dc:description/>
  <cp:lastModifiedBy>adelprete</cp:lastModifiedBy>
  <cp:revision>7</cp:revision>
  <cp:lastPrinted>2014-12-11T15:02:00Z</cp:lastPrinted>
  <dcterms:created xsi:type="dcterms:W3CDTF">2014-12-10T09:17:00Z</dcterms:created>
  <dcterms:modified xsi:type="dcterms:W3CDTF">2014-12-11T15:05:00Z</dcterms:modified>
</cp:coreProperties>
</file>